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苏州市级政府采购</w:t>
      </w:r>
      <w:r/>
    </w:p>
    <w:p>
      <w:pPr>
        <w:ind w:left="0" w:right="0" w:firstLine="142"/>
        <w:jc w:val="center"/>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货物类公开招标项目</w:t>
      </w:r>
      <w:r/>
    </w:p>
    <w:p>
      <w:pPr>
        <w:ind w:left="0" w:right="0" w:firstLine="142"/>
        <w:jc w:val="center"/>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招标文件</w:t>
      </w:r>
      <w:r/>
    </w:p>
    <w:p>
      <w:pPr>
        <w:ind w:left="2766" w:right="0" w:hanging="1506"/>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0"/>
        </w:rPr>
        <w:t xml:space="preserve"> </w:t>
      </w:r>
      <w:r>
        <w:rPr>
          <w:rFonts w:ascii="Calibri" w:hAnsi="Calibri" w:eastAsia="Calibri" w:cs="Calibri"/>
          <w:b/>
          <w:color w:val="000000"/>
          <w:sz w:val="30"/>
        </w:rPr>
        <w:t xml:space="preserve"> </w:t>
      </w:r>
      <w:r>
        <w:rPr>
          <w:rFonts w:ascii="Times New Roman" w:hAnsi="Times New Roman" w:eastAsia="Times New Roman" w:cs="Times New Roman"/>
          <w:sz w:val="24"/>
        </w:rPr>
      </w:r>
      <w:r/>
    </w:p>
    <w:p>
      <w:pPr>
        <w:ind w:left="2766" w:right="0" w:hanging="1506"/>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采购编号：</w:t>
      </w:r>
      <w:r>
        <w:rPr>
          <w:rFonts w:ascii="SimSun" w:hAnsi="SimSun" w:eastAsia="SimSun" w:cs="SimSun"/>
          <w:color w:val="000000"/>
          <w:sz w:val="30"/>
        </w:rPr>
        <w:t xml:space="preserve">JSZC-320500-JCEC-G2025-0573</w:t>
      </w:r>
      <w:r/>
    </w:p>
    <w:p>
      <w:pPr>
        <w:ind w:left="2766" w:right="0" w:hanging="1506"/>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项目名称：</w:t>
      </w:r>
      <w:r>
        <w:rPr>
          <w:rFonts w:ascii="SimSun" w:hAnsi="SimSun" w:eastAsia="SimSun" w:cs="SimSun"/>
          <w:color w:val="000000"/>
          <w:sz w:val="30"/>
        </w:rPr>
        <w:t xml:space="preserve">南京医科大学姑苏学院精准蛋白组检测试剂</w:t>
      </w:r>
      <w:r/>
    </w:p>
    <w:p>
      <w:pPr>
        <w:ind w:left="2766" w:right="0" w:hanging="1506"/>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采</w:t>
      </w:r>
      <w:r>
        <w:rPr>
          <w:rFonts w:ascii="Calibri" w:hAnsi="Calibri" w:eastAsia="Calibri" w:cs="Calibri"/>
          <w:b/>
          <w:color w:val="000000"/>
          <w:sz w:val="30"/>
        </w:rPr>
        <w:t xml:space="preserve"> </w:t>
      </w:r>
      <w:r>
        <w:rPr>
          <w:rFonts w:ascii="SimSun" w:hAnsi="SimSun" w:eastAsia="SimSun" w:cs="SimSun"/>
          <w:b/>
          <w:color w:val="000000"/>
          <w:sz w:val="30"/>
        </w:rPr>
        <w:t xml:space="preserve">购</w:t>
      </w:r>
      <w:r>
        <w:rPr>
          <w:rFonts w:ascii="Calibri" w:hAnsi="Calibri" w:eastAsia="Calibri" w:cs="Calibri"/>
          <w:b/>
          <w:color w:val="000000"/>
          <w:sz w:val="30"/>
        </w:rPr>
        <w:t xml:space="preserve"> </w:t>
      </w:r>
      <w:r>
        <w:rPr>
          <w:rFonts w:ascii="SimSun" w:hAnsi="SimSun" w:eastAsia="SimSun" w:cs="SimSun"/>
          <w:b/>
          <w:color w:val="000000"/>
          <w:sz w:val="30"/>
        </w:rPr>
        <w:t xml:space="preserve">人：</w:t>
      </w:r>
      <w:r>
        <w:rPr>
          <w:rFonts w:ascii="SimSun" w:hAnsi="SimSun" w:eastAsia="SimSun" w:cs="SimSun"/>
          <w:color w:val="000000"/>
          <w:sz w:val="30"/>
        </w:rPr>
        <w:t xml:space="preserve">南京医科大学姑苏学院</w:t>
      </w:r>
      <w:r/>
    </w:p>
    <w:p>
      <w:pPr>
        <w:ind w:left="2766" w:right="0" w:hanging="1506"/>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采购类别：</w:t>
      </w:r>
      <w:r>
        <w:rPr>
          <w:rFonts w:ascii="SimSun" w:hAnsi="SimSun" w:eastAsia="SimSun" w:cs="SimSun"/>
          <w:color w:val="000000"/>
          <w:sz w:val="30"/>
        </w:rPr>
        <w:t xml:space="preserve">货物类</w:t>
      </w:r>
      <w:r/>
    </w:p>
    <w:p>
      <w:pPr>
        <w:ind w:left="0" w:right="0" w:firstLine="482"/>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color w:val="000000"/>
          <w:sz w:val="24"/>
        </w:rPr>
        <w:t xml:space="preserve"> </w:t>
      </w:r>
      <w:r>
        <w:rPr>
          <w:rFonts w:ascii="Times New Roman" w:hAnsi="Times New Roman" w:eastAsia="Times New Roman" w:cs="Times New Roman"/>
          <w:sz w:val="24"/>
        </w:rPr>
      </w:r>
      <w:r/>
    </w:p>
    <w:p>
      <w:pPr>
        <w:ind w:left="0" w:right="0" w:firstLine="482"/>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r>
      <w:r>
        <w:rPr>
          <w:rFonts w:ascii="SimSun" w:hAnsi="SimSun" w:eastAsia="SimSun" w:cs="SimSun"/>
          <w:color w:val="000000"/>
          <w:sz w:val="24"/>
          <w:highlight w:val="none"/>
        </w:rPr>
      </w:r>
    </w:p>
    <w:p>
      <w:pPr>
        <w:ind w:left="0" w:right="0" w:firstLine="482"/>
        <w:jc w:val="center"/>
        <w:spacing w:before="240" w:after="240" w:line="85" w:lineRule="atLeast"/>
        <w:rPr>
          <w:rFonts w:ascii="SimSun" w:hAnsi="SimSun" w:eastAsia="SimSun" w:cs="SimSun"/>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r>
      <w:r>
        <w:rPr>
          <w:rFonts w:ascii="SimSun" w:hAnsi="SimSun" w:eastAsia="SimSun" w:cs="SimSun"/>
          <w:color w:val="000000"/>
          <w:sz w:val="24"/>
          <w:highlight w:val="none"/>
        </w:rPr>
      </w:r>
    </w:p>
    <w:p>
      <w:pPr>
        <w:ind w:left="0" w:right="0" w:firstLine="482"/>
        <w:jc w:val="center"/>
        <w:spacing w:before="240" w:after="240" w:line="85" w:lineRule="atLeast"/>
        <w:rPr>
          <w:rFonts w:ascii="SimSun" w:hAnsi="SimSun" w:eastAsia="SimSun" w:cs="SimSun"/>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r>
      <w:r>
        <w:rPr>
          <w:rFonts w:ascii="SimSun" w:hAnsi="SimSun" w:eastAsia="SimSun" w:cs="SimSun"/>
          <w:color w:val="000000"/>
          <w:sz w:val="24"/>
          <w:highlight w:val="none"/>
        </w:rPr>
      </w:r>
    </w:p>
    <w:p>
      <w:pPr>
        <w:ind w:left="0" w:right="0" w:firstLine="482"/>
        <w:jc w:val="center"/>
        <w:spacing w:before="240" w:after="240" w:line="85" w:lineRule="atLeast"/>
        <w:rPr>
          <w:rFonts w:ascii="SimSun" w:hAnsi="SimSun" w:eastAsia="SimSun" w:cs="SimSun"/>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r>
      <w:r>
        <w:rPr>
          <w:rFonts w:ascii="SimSun" w:hAnsi="SimSun" w:eastAsia="SimSun" w:cs="SimSun"/>
          <w:color w:val="000000"/>
          <w:sz w:val="24"/>
          <w:highlight w:val="none"/>
        </w:rPr>
      </w:r>
    </w:p>
    <w:p>
      <w:pPr>
        <w:ind w:left="0" w:right="0" w:firstLine="482"/>
        <w:jc w:val="center"/>
        <w:spacing w:before="240" w:after="240" w:line="85" w:lineRule="atLeast"/>
        <w:rPr>
          <w:rFonts w:ascii="SimSun" w:hAnsi="SimSun" w:eastAsia="SimSun" w:cs="SimSun"/>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r>
      <w:r>
        <w:rPr>
          <w:rFonts w:ascii="SimSun" w:hAnsi="SimSun" w:eastAsia="SimSun" w:cs="SimSun"/>
          <w:color w:val="000000"/>
          <w:sz w:val="24"/>
          <w:highlight w:val="none"/>
        </w:rPr>
      </w:r>
    </w:p>
    <w:p>
      <w:pPr>
        <w:ind w:left="0" w:right="0" w:firstLine="482"/>
        <w:jc w:val="center"/>
        <w:spacing w:before="240" w:after="240" w:line="85" w:lineRule="atLeast"/>
        <w:rPr>
          <w:rFonts w:ascii="SimSun" w:hAnsi="SimSun" w:eastAsia="SimSun" w:cs="SimSun"/>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2"/>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2"/>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江苏省设备成套股份有限公司</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二○二五年十二月</w:t>
      </w:r>
      <w:r/>
    </w:p>
    <w:p>
      <w:pPr>
        <w:ind w:left="0" w:right="0" w:firstLine="640"/>
        <w:jc w:val="center"/>
        <w:spacing w:before="240" w:after="240" w:line="85" w:lineRule="atLeast"/>
        <w:tabs>
          <w:tab w:val="left" w:pos="830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前附表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尊敬的投标单位：欢迎参加本项目的投标。为了保证投标顺利进行，请在制作投标文件之前，仔细阅读本招标文件的各项条款，并严格按要求制作和递交投标文件。谢谢合作！</w:t>
      </w:r>
      <w:r/>
    </w:p>
    <w:tbl>
      <w:tblPr>
        <w:tblStyle w:val="70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95"/>
        <w:gridCol w:w="1779"/>
        <w:gridCol w:w="6780"/>
      </w:tblGrid>
      <w:tr>
        <w:trPr>
          <w:trHeight w:val="5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7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内      容</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招标编号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JSZC-320500-JCEC-G2025-0573</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招标内容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南京医科大学姑苏学院精准蛋白组检测试剂</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投标有效期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六十天（日历日）</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投标保证金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8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Wingdings" w:hAnsi="Wingdings" w:eastAsia="Wingdings" w:cs="Wingdings"/>
                <w:b/>
                <w:color w:val="000000"/>
                <w:sz w:val="21"/>
              </w:rPr>
              <w:t xml:space="preserve">þ</w:t>
            </w:r>
            <w:r>
              <w:rPr>
                <w:rFonts w:ascii="SimSun" w:hAnsi="SimSun" w:eastAsia="SimSun" w:cs="SimSun"/>
                <w:b/>
                <w:color w:val="000000"/>
                <w:sz w:val="21"/>
              </w:rPr>
              <w:t xml:space="preserve">不需提交，招标文件中有关投标保证金的规定均不适用。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投标（响应）人应在投标（响应）文件中提交《投标（响应）保证承诺书》（详见附件），否则为无效投标。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招标代理机构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江苏省设备成套股份有限公司</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地址：南京市鼓楼区清江南路</w:t>
            </w:r>
            <w:r>
              <w:rPr>
                <w:rFonts w:ascii="Arial" w:hAnsi="Arial" w:eastAsia="Arial" w:cs="Arial"/>
                <w:color w:val="000000"/>
                <w:sz w:val="21"/>
              </w:rPr>
              <w:t xml:space="preserve">18</w:t>
            </w:r>
            <w:r>
              <w:rPr>
                <w:rFonts w:ascii="SimSun" w:hAnsi="SimSun" w:eastAsia="SimSun" w:cs="SimSun"/>
                <w:color w:val="000000"/>
                <w:sz w:val="21"/>
              </w:rPr>
              <w:t xml:space="preserve">号鼓楼创新广场</w:t>
            </w:r>
            <w:r>
              <w:rPr>
                <w:rFonts w:ascii="Arial" w:hAnsi="Arial" w:eastAsia="Arial" w:cs="Arial"/>
                <w:color w:val="000000"/>
                <w:sz w:val="21"/>
              </w:rPr>
              <w:t xml:space="preserve">10</w:t>
            </w:r>
            <w:r>
              <w:rPr>
                <w:rFonts w:ascii="SimSun" w:hAnsi="SimSun" w:eastAsia="SimSun" w:cs="SimSun"/>
                <w:color w:val="000000"/>
                <w:sz w:val="21"/>
              </w:rPr>
              <w:t xml:space="preserve">楼</w:t>
            </w:r>
            <w:r>
              <w:rPr>
                <w:rFonts w:ascii="Arial" w:hAnsi="Arial" w:eastAsia="Arial" w:cs="Arial"/>
                <w:color w:val="000000"/>
                <w:sz w:val="21"/>
              </w:rPr>
              <w:t xml:space="preserve">1001</w:t>
            </w:r>
            <w:r>
              <w:rPr>
                <w:rFonts w:ascii="SimSun" w:hAnsi="SimSun" w:eastAsia="SimSun" w:cs="SimSun"/>
                <w:color w:val="000000"/>
                <w:sz w:val="21"/>
              </w:rPr>
              <w:t xml:space="preserve">室</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w:t>
            </w:r>
            <w:r>
              <w:rPr>
                <w:rFonts w:ascii="Arial" w:hAnsi="Arial" w:eastAsia="Arial" w:cs="Arial"/>
                <w:color w:val="000000"/>
                <w:sz w:val="21"/>
              </w:rPr>
              <w:t xml:space="preserve">025-83325825</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联系人：赵工</w:t>
            </w:r>
            <w:r/>
          </w:p>
        </w:tc>
      </w:tr>
      <w:tr>
        <w:trPr>
          <w:trHeight w:val="9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9" w:type="dxa"/>
            <w:vAlign w:val="center"/>
            <w:textDirection w:val="lrTb"/>
            <w:noWrap w:val="false"/>
          </w:tcPr>
          <w:p>
            <w:pPr>
              <w:ind w:left="0" w:right="0" w:firstLine="0"/>
              <w:jc w:val="center"/>
              <w:spacing w:before="0" w:after="0" w:line="85" w:lineRule="atLeast"/>
              <w:tabs>
                <w:tab w:val="left" w:pos="36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采购单位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名称：南京医科大学姑苏学院</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地址：江苏省苏州市姑苏区十梓街458号</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联系人：吴老师      联系电话：0512-67303015</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9"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投标文件组成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80"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详见招标文件第二章</w:t>
            </w:r>
            <w:r/>
          </w:p>
        </w:tc>
      </w:tr>
      <w:tr>
        <w:trPr>
          <w:trHeight w:val="8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9"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获取招标文件</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80"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自公告发布之日起5个工作日</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9"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投标文件网上</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提交截止时间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8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2026年1月20日13：30（北京时间）</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投标文件必须在截止时间前完成提交（上传），逾期提交（上传）的投标文件恕不接受。</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9"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开标时间</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开标地点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80"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2026年1月20日13：30（北京时间）</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“苏采云”系统（网址：http://jszfcg.jsczt.cn/）</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9"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评标时间</w:t>
            </w:r>
            <w:r/>
          </w:p>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评标地点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80"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2026年1月20日13：30（北京时间）</w:t>
            </w:r>
            <w:r/>
          </w:p>
          <w:p>
            <w:pPr>
              <w:ind w:left="0" w:right="0" w:firstLine="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苏州市高新区邓尉路105号狮山科技馆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9"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投标文件份数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8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本项目采用电子投标文件，投标人按照招标文件要求制作上传电子投标文件，投标人无需提供纸质投标文件。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中标后5个工作日内，中标单位向招标代理机构提供与电子投标文件内容一致的纸质投标文件两份。</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9"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投标报价本位币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80"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人民币</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9"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履约保证金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80"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9"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中标通知书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80"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确定出中标人后，采购代理机构在法定时间内向中标人发出中标通知书。中标通知书将成为合同的组成部分。</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请中标人在中标结果公告届满之日起30日内,使用CA证书登录“苏采云”系统及时下载中标通知书。</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中标服务费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8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由中标单位在领取中标通知书时付清。</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招标代理服务费：本次招标，中标人参照《招标代理服务费管理暂行办法》（国家发展计划委员会计价格【</w:t>
            </w:r>
            <w:r>
              <w:rPr>
                <w:rFonts w:ascii="Arial" w:hAnsi="Arial" w:eastAsia="Arial" w:cs="Arial"/>
                <w:color w:val="000000"/>
                <w:sz w:val="21"/>
              </w:rPr>
              <w:t xml:space="preserve">2002</w:t>
            </w:r>
            <w:r>
              <w:rPr>
                <w:rFonts w:ascii="SimSun" w:hAnsi="SimSun" w:eastAsia="SimSun" w:cs="SimSun"/>
                <w:color w:val="000000"/>
                <w:sz w:val="21"/>
              </w:rPr>
              <w:t xml:space="preserve">】</w:t>
            </w:r>
            <w:r>
              <w:rPr>
                <w:rFonts w:ascii="Arial" w:hAnsi="Arial" w:eastAsia="Arial" w:cs="Arial"/>
                <w:color w:val="000000"/>
                <w:sz w:val="21"/>
              </w:rPr>
              <w:t xml:space="preserve">1980</w:t>
            </w:r>
            <w:r>
              <w:rPr>
                <w:rFonts w:ascii="SimSun" w:hAnsi="SimSun" w:eastAsia="SimSun" w:cs="SimSun"/>
                <w:color w:val="000000"/>
                <w:sz w:val="21"/>
              </w:rPr>
              <w:t xml:space="preserve">号）代理</w:t>
            </w:r>
            <w:r>
              <w:rPr>
                <w:rFonts w:ascii="Arial" w:hAnsi="Arial" w:eastAsia="Arial" w:cs="Arial"/>
                <w:color w:val="000000"/>
                <w:sz w:val="21"/>
                <w:u w:val="single"/>
              </w:rPr>
              <w:t xml:space="preserve"> </w:t>
            </w:r>
            <w:r>
              <w:rPr>
                <w:rFonts w:ascii="SimSun" w:hAnsi="SimSun" w:eastAsia="SimSun" w:cs="SimSun"/>
                <w:color w:val="000000"/>
                <w:sz w:val="21"/>
                <w:u w:val="single"/>
              </w:rPr>
              <w:t xml:space="preserve">货物</w:t>
            </w:r>
            <w:r>
              <w:rPr>
                <w:rFonts w:ascii="Arial" w:hAnsi="Arial" w:eastAsia="Arial" w:cs="Arial"/>
                <w:color w:val="000000"/>
                <w:sz w:val="21"/>
                <w:u w:val="single"/>
              </w:rPr>
              <w:t xml:space="preserve">  </w:t>
            </w:r>
            <w:r>
              <w:rPr>
                <w:rFonts w:ascii="SimSun" w:hAnsi="SimSun" w:eastAsia="SimSun" w:cs="SimSun"/>
                <w:color w:val="000000"/>
                <w:sz w:val="21"/>
              </w:rPr>
              <w:t xml:space="preserve">招标收费基准费率</w:t>
            </w:r>
            <w:r>
              <w:rPr>
                <w:rFonts w:ascii="Arial" w:hAnsi="Arial" w:eastAsia="Arial" w:cs="Arial"/>
                <w:color w:val="000000"/>
                <w:sz w:val="21"/>
              </w:rPr>
              <w:t xml:space="preserve"> 59 %</w:t>
            </w:r>
            <w:r>
              <w:rPr>
                <w:rFonts w:ascii="SimSun" w:hAnsi="SimSun" w:eastAsia="SimSun" w:cs="SimSun"/>
                <w:color w:val="000000"/>
                <w:sz w:val="21"/>
              </w:rPr>
              <w:t xml:space="preserve">计算。超过贰万元的按固定金额人民币贰万元计算，在领取中标通知书前向采购代理机构支付招标服务费。本项费用无需在投标报价表中单列。</w:t>
            </w:r>
            <w:r/>
          </w:p>
        </w:tc>
      </w:tr>
      <w:tr>
        <w:trPr>
          <w:trHeight w:val="4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评分标准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8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按招标文件。</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评标方法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8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综合评分法。</w:t>
            </w:r>
            <w:r/>
          </w:p>
        </w:tc>
      </w:tr>
      <w:tr>
        <w:trPr>
          <w:trHeight w:val="5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相关账号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8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中标服务费交纳账号：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开户银行名称：浦发银行南京北京西路支行</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账号名称：江苏省设备成套股份有限公司</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账号：93060154740006335</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行号：310301000065</w:t>
            </w:r>
            <w:r/>
          </w:p>
        </w:tc>
      </w:tr>
      <w:tr>
        <w:trPr>
          <w:trHeight w:val="5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导致无效</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投标因素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8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投标人存在下列情况之一的，投标无效：</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1.投标文件未按招标文件要求签署、盖章的；</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2.不具备招标文件中规定的资格要求的；</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3.报价超过招标文件中规定的预算金额或者最高限价的；</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4.投标文件含有采购单位不能接受的附加条件的；</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5.不同投标（响应）文件制作机器码一致的；</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6.法律、法规和招标文件规定的其他无效情形。</w:t>
            </w:r>
            <w:r/>
          </w:p>
        </w:tc>
      </w:tr>
      <w:tr>
        <w:trPr>
          <w:trHeight w:val="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导致废标因素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出现下列情形之一的，为废标：</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1.符合专业条件的供应商或者对招标文件作实质响应的供应商不足三家的；</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2.出现影响采购公正的违法、违规行为的；</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3.投标人的报价均超过了采购预算或者最高限价的，采购单位不能支付的；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4.因重大变故，采购任务取消的。</w:t>
            </w:r>
            <w:r/>
          </w:p>
        </w:tc>
      </w:tr>
    </w:tbl>
    <w:p>
      <w:pPr>
        <w:ind w:left="0" w:right="0" w:firstLine="0"/>
        <w:spacing w:before="0" w:after="0"/>
        <w:tabs>
          <w:tab w:val="left" w:pos="315" w:leader="none"/>
          <w:tab w:val="left" w:pos="4153" w:leader="none"/>
        </w:tabs>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目    录</w:t>
      </w:r>
      <w:r/>
    </w:p>
    <w:p>
      <w:pPr>
        <w:ind w:left="0" w:right="0" w:firstLine="720"/>
        <w:jc w:val="center"/>
        <w:spacing w:before="0" w:after="0" w:line="85" w:lineRule="atLeast"/>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723"/>
        <w:spacing w:before="240" w:after="240" w:line="85" w:lineRule="atLeast"/>
        <w:tabs>
          <w:tab w:val="left" w:pos="830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第一章  投标邀请函</w:t>
      </w:r>
      <w:r/>
    </w:p>
    <w:p>
      <w:pPr>
        <w:ind w:left="0" w:right="0" w:firstLine="723"/>
        <w:spacing w:before="240" w:after="240" w:line="85" w:lineRule="atLeast"/>
        <w:tabs>
          <w:tab w:val="left" w:pos="830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第二章  投标人须知</w:t>
      </w:r>
      <w:r/>
    </w:p>
    <w:p>
      <w:pPr>
        <w:ind w:left="0" w:right="0" w:firstLine="723"/>
        <w:spacing w:before="240" w:after="240" w:line="85" w:lineRule="atLeast"/>
        <w:tabs>
          <w:tab w:val="left" w:pos="830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第三章  投标文件格式</w:t>
      </w:r>
      <w:r/>
    </w:p>
    <w:p>
      <w:pPr>
        <w:ind w:left="0" w:right="0" w:firstLine="723"/>
        <w:spacing w:before="240" w:after="240" w:line="85" w:lineRule="atLeast"/>
        <w:tabs>
          <w:tab w:val="left" w:pos="830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第四章  招标书</w:t>
      </w:r>
      <w:r/>
    </w:p>
    <w:p>
      <w:pPr>
        <w:ind w:left="0" w:right="0" w:firstLine="723"/>
        <w:spacing w:before="240" w:after="240" w:line="85" w:lineRule="atLeast"/>
        <w:tabs>
          <w:tab w:val="left" w:pos="830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第五章  合同及主要条款</w:t>
      </w:r>
      <w:r/>
    </w:p>
    <w:p>
      <w:pPr>
        <w:ind w:left="0" w:right="0" w:firstLine="723"/>
        <w:spacing w:before="240" w:after="240" w:line="85" w:lineRule="atLeast"/>
        <w:tabs>
          <w:tab w:val="left" w:pos="830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第六章  评标办法及评分标准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
        <w:br w:type="page" w:clear="all"/>
      </w:r>
      <w:r/>
      <w:r/>
      <w:r/>
    </w:p>
    <w:p>
      <w:pPr>
        <w:ind w:left="0" w:right="0" w:firstLine="640"/>
        <w:jc w:val="center"/>
        <w:spacing w:before="240" w:after="240" w:line="85" w:lineRule="atLeast"/>
        <w:tabs>
          <w:tab w:val="left" w:pos="830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第一章</w:t>
      </w:r>
      <w:r>
        <w:rPr>
          <w:rFonts w:ascii="Calibri" w:hAnsi="Calibri" w:eastAsia="Calibri" w:cs="Calibri"/>
          <w:b/>
          <w:color w:val="000000"/>
          <w:sz w:val="32"/>
        </w:rPr>
        <w:t xml:space="preserve"> </w:t>
      </w:r>
      <w:r>
        <w:rPr>
          <w:rFonts w:ascii="SimSun" w:hAnsi="SimSun" w:eastAsia="SimSun" w:cs="SimSun"/>
          <w:b/>
          <w:color w:val="000000"/>
          <w:sz w:val="32"/>
        </w:rPr>
        <w:t xml:space="preserve">投标邀请函</w:t>
      </w:r>
      <w:r/>
    </w:p>
    <w:p>
      <w:pPr>
        <w:ind w:left="0" w:right="0" w:firstLine="420"/>
        <w:jc w:val="both"/>
        <w:spacing w:before="0" w:after="0" w:line="85"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1"/>
        </w:rPr>
        <w:t xml:space="preserve">项目概况</w:t>
      </w:r>
      <w:r/>
    </w:p>
    <w:p>
      <w:pPr>
        <w:ind w:left="0" w:right="0" w:firstLine="420"/>
        <w:jc w:val="both"/>
        <w:spacing w:before="0" w:after="0" w:line="85"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1"/>
          <w:u w:val="single"/>
        </w:rPr>
        <w:t xml:space="preserve">南京医科大学姑苏学院精准蛋白组检测试剂</w:t>
      </w:r>
      <w:r>
        <w:rPr>
          <w:rFonts w:ascii="SimSun" w:hAnsi="SimSun" w:eastAsia="SimSun" w:cs="SimSun"/>
          <w:color w:val="000000"/>
          <w:sz w:val="21"/>
        </w:rPr>
        <w:t xml:space="preserve">招标项目的潜在投标人应在</w:t>
      </w:r>
      <w:r>
        <w:rPr>
          <w:rFonts w:ascii="SimSun" w:hAnsi="SimSun" w:eastAsia="SimSun" w:cs="SimSun"/>
          <w:color w:val="000000"/>
          <w:sz w:val="21"/>
          <w:u w:val="single"/>
        </w:rPr>
        <w:t xml:space="preserve">苏采云系统</w:t>
      </w:r>
      <w:r>
        <w:rPr>
          <w:rFonts w:ascii="SimSun" w:hAnsi="SimSun" w:eastAsia="SimSun" w:cs="SimSun"/>
          <w:color w:val="000000"/>
          <w:sz w:val="21"/>
        </w:rPr>
        <w:t xml:space="preserve">获取招标文件，并于</w:t>
      </w:r>
      <w:r>
        <w:rPr>
          <w:rFonts w:ascii="SimSun" w:hAnsi="SimSun" w:eastAsia="SimSun" w:cs="SimSun"/>
          <w:color w:val="000000"/>
          <w:sz w:val="21"/>
          <w:u w:val="single"/>
        </w:rPr>
        <w:t xml:space="preserve">2026年1月20日13点30分（</w:t>
      </w:r>
      <w:r>
        <w:rPr>
          <w:rFonts w:ascii="SimSun" w:hAnsi="SimSun" w:eastAsia="SimSun" w:cs="SimSun"/>
          <w:color w:val="000000"/>
          <w:sz w:val="21"/>
        </w:rPr>
        <w:t xml:space="preserve">北京时间）前递交投标文件。</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一、项目基本情况</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1.项目编号：JSZC-320500-JCEC-G2025-0573</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2.项目名称：南京医科大学姑苏学院精准蛋白组检测试剂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3.预算金额：人民币壹仟陆佰万元整（¥：16000000.00）</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4.最高限价：人民币壹仟陆佰万元整（¥：16000000.00）；单价限价：2285元/人份（注意：单价、总价均不可超出相应的最高限价）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5.采购需求：为实现超灵敏多重蛋白标志物检测、无偏靶向蛋白质组学和精准蛋白组学，现需购置精准蛋白组检测试剂，用于科研项目蛋白质组学检测，覆盖样本处理、芯片实验等环节。</w:t>
      </w:r>
      <w:r>
        <w:rPr>
          <w:rFonts w:ascii="SimSun" w:hAnsi="SimSun" w:eastAsia="SimSun" w:cs="SimSun"/>
          <w:color w:val="000000"/>
          <w:spacing w:val="8"/>
          <w:sz w:val="21"/>
        </w:rPr>
        <w:t xml:space="preserve">具体服务需求详见采购文件第四章招标书。本项目</w:t>
      </w:r>
      <w:r>
        <w:rPr>
          <w:rFonts w:ascii="SimSun" w:hAnsi="SimSun" w:eastAsia="SimSun" w:cs="SimSun"/>
          <w:b/>
          <w:color w:val="000000"/>
          <w:spacing w:val="8"/>
          <w:sz w:val="21"/>
        </w:rPr>
        <w:t xml:space="preserve">接受</w:t>
      </w:r>
      <w:r>
        <w:rPr>
          <w:rFonts w:ascii="SimSun" w:hAnsi="SimSun" w:eastAsia="SimSun" w:cs="SimSun"/>
          <w:color w:val="000000"/>
          <w:spacing w:val="8"/>
          <w:sz w:val="21"/>
        </w:rPr>
        <w:t xml:space="preserve">进口产品。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6.合同履行期限：按照3年执行，</w:t>
      </w:r>
      <w:r>
        <w:rPr>
          <w:rFonts w:ascii="SimSun" w:hAnsi="SimSun" w:eastAsia="SimSun" w:cs="SimSun"/>
          <w:color w:val="000000"/>
          <w:spacing w:val="8"/>
          <w:sz w:val="21"/>
        </w:rPr>
        <w:t xml:space="preserve">合同签订生效后，根据甲方要求将设备、材料运抵现场，并安装、调试结束，验收合格，交付采购人使用</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7.本项目不接受联合体投标。</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二、申请人的资格要求：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1.满足《中华人民共和国政府采购法》第二十二条规定；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（1）具有独立承担民事责任的能力（提供包括法人或者其他组织的营业执照等证明文件，自然人的身份证明）；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（2）具有良好的商业信誉和健全的财务会计制度（提供2024年度审计报告，或银行出具的资信证明，或财政部门认可的政府采购专业担保机构出具的投标担保函）；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（3）具有履行合同所必需的设备和专业技术能力（提供证明材料或承诺）；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有依法缴纳税收和社会保障资金的良好记录（提供供应商参加本次政府采购活动前半年（至少一个月）依法缴纳税收和社会保险的凭据；依法免税或不需要缴纳社会保障资金的供应商，应提供相应证明资料证明其依法免税或不需要缴纳社会保障资金，否则不予认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（5）参加政府采购活动前三年内，在经营活动中没有重大违法记录（提供书面声明函）；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（6）法律、行政法规规定的其他条件。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2.落实政府采购政策需满足的资格要求：根据《政府采购促进中小企业发展管理办法》的相关规定，</w:t>
      </w:r>
      <w:r>
        <w:rPr>
          <w:rFonts w:ascii="SimSun" w:hAnsi="SimSun" w:eastAsia="SimSun" w:cs="SimSun"/>
          <w:b/>
          <w:color w:val="000000"/>
          <w:sz w:val="21"/>
        </w:rPr>
        <w:t xml:space="preserve">本项目非专门面向中小企业采购。本项目所属行业为工业</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3.未被列入失信被执行人、重大税收违法失信主体名单、政府采购严重失信行为记录名单。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4.单位负责人为同一人或者存在直接控股、管理关系的不同供应商（包含法定代表人为同一个人的两个及两个以上法人，母公司、全资子公司及其控股公司），不得参加同一合同项下的政府采购活动。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5.为采购项目提供整体设计、规范编制或者项目管理、监理、检测等服务的供应商，不得再参加该采购项目的其他采购活动。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6.本项目的特定资格要求：代理商投标进口产品的，需提供所投产品制造商或其驻中国办事机构或制造商授权的中国境内最高级别代理机构的有效授权书（提供授权复印件加盖公章）。</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三、招标文件的获取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1.时间：自公告发布之日起5个工作日</w:t>
      </w:r>
      <w:r>
        <w:rPr>
          <w:rFonts w:ascii="SimSun" w:hAnsi="SimSun" w:eastAsia="SimSun" w:cs="SimSun"/>
          <w:color w:val="000000"/>
          <w:sz w:val="21"/>
          <w:highlight w:val="white"/>
        </w:rPr>
        <w:t xml:space="preserve">（</w:t>
      </w:r>
      <w:r>
        <w:rPr>
          <w:rFonts w:ascii="SimSun" w:hAnsi="SimSun" w:eastAsia="SimSun" w:cs="SimSun"/>
          <w:color w:val="000000"/>
          <w:sz w:val="21"/>
          <w:u w:val="single"/>
        </w:rPr>
        <w:t xml:space="preserve">2026年1月7日17点30分</w:t>
      </w:r>
      <w:r>
        <w:rPr>
          <w:rFonts w:ascii="SimSun" w:hAnsi="SimSun" w:eastAsia="SimSun" w:cs="SimSun"/>
          <w:color w:val="000000"/>
          <w:sz w:val="21"/>
          <w:u w:val="none"/>
        </w:rPr>
        <w:t xml:space="preserve">（</w:t>
      </w:r>
      <w:r>
        <w:rPr>
          <w:rFonts w:ascii="SimSun" w:hAnsi="SimSun" w:eastAsia="SimSun" w:cs="SimSun"/>
          <w:color w:val="000000"/>
          <w:sz w:val="21"/>
        </w:rPr>
        <w:t xml:space="preserve">北京时间）</w:t>
      </w:r>
      <w:r>
        <w:rPr>
          <w:rFonts w:ascii="SimSun" w:hAnsi="SimSun" w:eastAsia="SimSun" w:cs="SimSun"/>
          <w:color w:val="000000"/>
          <w:sz w:val="21"/>
          <w:highlight w:val="white"/>
        </w:rPr>
        <w:t xml:space="preserve">）</w:t>
      </w:r>
      <w:r>
        <w:rPr>
          <w:rFonts w:ascii="SimSun" w:hAnsi="SimSun" w:eastAsia="SimSun" w:cs="SimSun"/>
          <w:color w:val="000000"/>
          <w:sz w:val="21"/>
          <w:highlight w:val="none"/>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2.地点：</w:t>
      </w:r>
      <w:r>
        <w:rPr>
          <w:rFonts w:ascii="SimSun" w:hAnsi="SimSun" w:eastAsia="SimSun" w:cs="SimSun"/>
          <w:color w:val="000000"/>
          <w:sz w:val="21"/>
        </w:rPr>
        <w:t xml:space="preserve">苏采云系统自行下载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3.方式：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（1）CA证书办理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ascii="SimSun" w:hAnsi="SimSun" w:eastAsia="SimSun" w:cs="SimSun"/>
          <w:b/>
          <w:color w:val="000000"/>
          <w:sz w:val="21"/>
        </w:rPr>
        <w:t xml:space="preserve">苏州现场办理地址：苏州市姑苏区平泷路251号政务服务中心4楼公共交易中心窗口，咨询电话：0512-69820834</w:t>
      </w:r>
      <w:r>
        <w:rPr>
          <w:rFonts w:ascii="SimSun" w:hAnsi="SimSun" w:eastAsia="SimSun" w:cs="SimSun"/>
          <w:color w:val="000000"/>
          <w:sz w:val="21"/>
          <w:highlight w:val="white"/>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（2）参与采购活动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（3）电子投标准备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供应商在“苏采云”系统中操作成功参与项目后，必须在“已参与项目”界面中下载电子招标文件（后缀名为“.kedt”）并导入政府采购客户端工具后方可进行投标文件制作和提交</w:t>
      </w:r>
      <w:r>
        <w:rPr>
          <w:rFonts w:ascii="SimSun" w:hAnsi="SimSun" w:eastAsia="SimSun" w:cs="SimSun"/>
          <w:b/>
          <w:color w:val="000000"/>
          <w:sz w:val="21"/>
        </w:rPr>
        <w:t xml:space="preserve">（具体详见《苏采云系统供应商操作手册》，网址链接https://czju.suzhou.gov.cn/zfcg/html/content/20231220161910031.shtml）。</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在系统操作过程中如有疑问，请按以下方式联系：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注册咨询：18261002950；</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CA技术咨询电话：400-608-6099；</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签章使用问题：025-83633811、025-83633812、15380932027、15371015030；</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系统使用指导与咨询：联系电话：18261002950；QQ：3048755361、1315179389、895706745。</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4.售价：免费。</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四、提交电子投标文件截止时间、开标时间和地点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1.提交投标文件截止时间：2026年1月20日13：30（北京时间）；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2.开标时间：2026年1月20日13：30（北京时间）；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3.开标地点：“苏采云”系统（网址：http://jszfcg.jsczt.cn/）</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CA证书解密电子投标文件，如在系统规定的解密时间（投标文件提交截止时间后30分钟）内未能完成解密的视为放弃投标。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请供应商确保电脑、系统及其他设备（视频输入输出设备等）无误，且开标直至项目结束始终保持系统在线状态。</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五、公告期限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自本公告发布之日起5个工作日。</w:t>
      </w:r>
      <w:r/>
    </w:p>
    <w:p>
      <w:pPr>
        <w:numPr>
          <w:ilvl w:val="0"/>
          <w:numId w:val="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其他补充事宜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1.根据苏州市财政局《关于深入开展苏州市政府采购合同信用融资业务的通知》相关要求，本项目支持政府采购合同信用融资。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2.本公告有关信息将同时在苏州市政府采购网、江苏省政府采购网上发布，敬请留意！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3.苏州市财政局政府采购监管处电话：0512-68616651。</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七、对本次招标提出询问，请按以下方式联系。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1.采购单位信息</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  称：南京医科大学姑苏学院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址：江苏省苏州市姑苏区十梓街458号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联系人：吴老师</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联系电话：0512-67303015</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2.代理机构联系方式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  称：江苏省设备成套股份有限公司</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址：南京市鼓楼区清江南路</w:t>
      </w:r>
      <w:r>
        <w:rPr>
          <w:rFonts w:ascii="Arial" w:hAnsi="Arial" w:eastAsia="Arial" w:cs="Arial"/>
          <w:color w:val="000000"/>
          <w:sz w:val="21"/>
        </w:rPr>
        <w:t xml:space="preserve">18</w:t>
      </w:r>
      <w:r>
        <w:rPr>
          <w:rFonts w:ascii="SimSun" w:hAnsi="SimSun" w:eastAsia="SimSun" w:cs="SimSun"/>
          <w:color w:val="000000"/>
          <w:sz w:val="21"/>
        </w:rPr>
        <w:t xml:space="preserve">号鼓楼创新广场</w:t>
      </w:r>
      <w:r>
        <w:rPr>
          <w:rFonts w:ascii="Arial" w:hAnsi="Arial" w:eastAsia="Arial" w:cs="Arial"/>
          <w:color w:val="000000"/>
          <w:sz w:val="21"/>
        </w:rPr>
        <w:t xml:space="preserve">10</w:t>
      </w:r>
      <w:r>
        <w:rPr>
          <w:rFonts w:ascii="SimSun" w:hAnsi="SimSun" w:eastAsia="SimSun" w:cs="SimSun"/>
          <w:color w:val="000000"/>
          <w:sz w:val="21"/>
        </w:rPr>
        <w:t xml:space="preserve">楼</w:t>
      </w:r>
      <w:r>
        <w:rPr>
          <w:rFonts w:ascii="Arial" w:hAnsi="Arial" w:eastAsia="Arial" w:cs="Arial"/>
          <w:color w:val="000000"/>
          <w:sz w:val="21"/>
        </w:rPr>
        <w:t xml:space="preserve">1001</w:t>
      </w:r>
      <w:r>
        <w:rPr>
          <w:rFonts w:ascii="SimSun" w:hAnsi="SimSun" w:eastAsia="SimSun" w:cs="SimSun"/>
          <w:color w:val="000000"/>
          <w:sz w:val="21"/>
        </w:rPr>
        <w:t xml:space="preserve">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联系人：赵工、朱工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　话：</w:t>
      </w:r>
      <w:r>
        <w:rPr>
          <w:rFonts w:ascii="Arial" w:hAnsi="Arial" w:eastAsia="Arial" w:cs="Arial"/>
          <w:color w:val="000000"/>
          <w:sz w:val="21"/>
        </w:rPr>
        <w:t xml:space="preserve">025-83325825</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3.项目联系方式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项目联系人：赵工、朱工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　　  话：</w:t>
      </w:r>
      <w:r>
        <w:rPr>
          <w:rFonts w:ascii="Arial" w:hAnsi="Arial" w:eastAsia="Arial" w:cs="Arial"/>
          <w:color w:val="000000"/>
          <w:sz w:val="21"/>
        </w:rPr>
        <w:t xml:space="preserve">025-83325825</w:t>
      </w:r>
      <w:r/>
    </w:p>
    <w:p>
      <w:pPr>
        <w:ind w:left="0" w:right="0" w:firstLine="0"/>
        <w:spacing w:before="0" w:after="0"/>
        <w:tabs>
          <w:tab w:val="left" w:pos="8302" w:leader="none"/>
        </w:tabs>
        <w:pBdr>
          <w:top w:val="none" w:color="000000" w:sz="4" w:space="0"/>
          <w:left w:val="none" w:color="000000" w:sz="4" w:space="0"/>
          <w:bottom w:val="none" w:color="000000" w:sz="4" w:space="0"/>
          <w:right w:val="none" w:color="000000" w:sz="4" w:space="0"/>
        </w:pBdr>
      </w:pPr>
      <w:r>
        <w:br w:type="page" w:clear="all"/>
      </w:r>
      <w:r/>
    </w:p>
    <w:p>
      <w:pPr>
        <w:ind w:left="0" w:right="0" w:firstLine="640"/>
        <w:jc w:val="center"/>
        <w:spacing w:before="240" w:after="240" w:line="85" w:lineRule="atLeast"/>
        <w:tabs>
          <w:tab w:val="left" w:pos="830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第二章</w:t>
      </w:r>
      <w:r>
        <w:rPr>
          <w:rFonts w:ascii="Calibri" w:hAnsi="Calibri" w:eastAsia="Calibri" w:cs="Calibri"/>
          <w:b/>
          <w:color w:val="000000"/>
          <w:sz w:val="32"/>
        </w:rPr>
        <w:t xml:space="preserve">  </w:t>
      </w:r>
      <w:r>
        <w:rPr>
          <w:rFonts w:ascii="SimSun" w:hAnsi="SimSun" w:eastAsia="SimSun" w:cs="SimSun"/>
          <w:b/>
          <w:color w:val="000000"/>
          <w:sz w:val="32"/>
        </w:rPr>
        <w:t xml:space="preserve">投标人须知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一、说明和释义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1.1本招标文件仅适用于江苏省设备成套股份有限公司组织的招标活动。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1.2本次招标活动及因本次招标产生的合同受中国法律制约和保护。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1.3本招标文件的解释权属于江苏省设备成套股份有限公司。</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 词语释义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1.4.1招标代理机构：具体组织实施招标活动的法人。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1.4.2投标人（投标单位）：经认定有资格响应招标，参加投标竞争的法人或其他组织和自然人。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1.4.3响应：投标人根据招标代理机构或招标代理机构发布的招标文件，编制投标文件并按规定投标的行为。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1.4.4合同：采供双方根据招标文件和中标的投标文件及中标通知书规定的内容签署的以书面形式所达成的协议，包括所有的附件、附录和构成协议的所有文件。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1.4.5甲方（委托方）：合同中明确规定的实际购买货物和服务的法人或其他组织和自然人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1.4.6乙方（服务方）：合同中规定的向采购单位提供货物和服务的法人或其他组织和自然人。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1.4.7货物：系指乙方按招标文件规定，应向甲方提供的一切设备、备品、备件、工具、手册及其它有关技术资料和材料。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1.4.8服务：系指本次招标文件规定乙方应承担的与提供货物和服务有关的辅助服务，比如运输、保险、安装、调试、提供技术援助、培训、配合措施、维修响应及合同中规定乙方应承担的其它义务。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1.4.9知识产权：指专利权、商标权、著作权等无形财产专有权的统称。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1.4.10天：日历日。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1.4.11交货地点：合同中明确约定的乙方提交的货物和服务最终交付地点。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1.4.12合同价款：根据合同规定，乙方在正确地履行合同义务后甲方应支付乙方的价款。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1.4.13产地：货物开采、生长、生产、最终制造、加工或提供服务的来源地。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1.4.14 不可抗力：不能预见、不能避免并且不能克服的客观情况。</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1.4.15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1.4.16进口产品：指通过中国海关报关验收进入中国境内且产自境外的产品，具体按照苏财购〔2008〕14号江苏省财政厅转发财政部办公厅关于政府采购进口产品管理有关问题的通知的规定。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1.4.17书面形式：指书面文字、合同书、信件和数据电文（包括电报、电传、传真、电子数据交换和电子邮件）等可以有形地表现所载内容的形式。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 投标人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 合格投标人的条件：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2.1具有独立承担民事责任的能力（提供包括法人或者其他组织的营业执照等证明文件，自然人的身份证明）；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2.2具有良好的商业信誉和健全的财务会计制度（提供2024年度审计报告，或银行出具的资信证明，或财政部门认可的政府采购专业担保机构出具的投标担保函）；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2.3具有履行合同所必需的设备和专业技术能力（提供证明材料或承诺）；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有依法缴纳税收和社会保障资金的良好记录（提供供应商参加本次政府采购活动前半年（至少一个月）依法缴纳税收和社会保险的凭据；依法免税或不需要缴纳社会保障资金的供应商，应提供相应证明资料证明其依法免税或不需要缴纳社会保障资金，否则不予认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2.5参加政府采购活动前三年内，在经营活动中没有重大违法记录（提供书面声明函）；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2.6法律、行政法规规定的其他条件。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2.7合格投标单位其他资格条件见第一章投标邀请函；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 投标人代表：</w:t>
      </w:r>
      <w:r>
        <w:rPr>
          <w:rFonts w:ascii="SimSun" w:hAnsi="SimSun" w:eastAsia="SimSun" w:cs="SimSun"/>
          <w:color w:val="000000"/>
          <w:sz w:val="21"/>
        </w:rPr>
        <w:t xml:space="preserve">指全权代表投标方参加投标活动并签署投标文件的人。如果投标方代表不是法定代表人，须持有《法人授权委托书》（详见统一格式）。</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投标费用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4.1无论投标过程中的做法和结果如何，投标人自行承担所有与参加投标有关的全部费用。</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联合投标及分包转包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5.1本次招标不接受联合投标的方式；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5.2本次招标不接受转包、分包。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 招标文件的说明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 招标文件</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6.1招标文件由招标文件总目录所列内容组成。投标单位应详细阅读招标文件的全部内容。不按招标文件的要求提供的投标文件和资料，可能导致投标被拒绝。</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 招标文件及其更正公告不是直接从苏采云系统中获得的，招标采购单位对招标文件及其补遗的真实性、完整性不承担任何责任。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 招标文件的澄清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招标采购单位无论出于自己的考虑，还是出于对投标人提问的澄清，均可对招标文件用更正公告的方式进行澄清或者修改，并通过苏州市政府采购网等对外进行发布。</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 招标文件的修改</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对于补充通知（包括更正公告），报名成功的供应商通过“苏州市政府采购网”的“采购公告”自行查看所报项目的补充通知（包括更正公告）。补充通知（包括更正公告）将作为招标文件的组成部分，对所有投标人有约束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8.2为使投标人有足够的时间按招标文件的修改要求考虑修正投标文件，或出于其他原因，招标采购单位有权推迟投标截止日期和开标日期，并将此变更通知以更正公告的形式对外发布。</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9. 投标答疑</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9.1投标人在获取招标文件后，若对招标文件有疑问（包括询问和质疑），可与招标代理机构或采购人联系。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9.2勘察现场：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9.2.1本项目因运行环境和安装设备的要求，投标单位根据自身投标需要，可对有关现场和周围环境进行勘察，以获取编制投标文件和签署合同所需的信息。勘察现场所发生的费用由投标人自己承担。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9.2.2招标采购单位向投标人提供的有关现场的资料和数据，是招标采购单位现有的并认为能使投标人可利用的资料。招标采购单位对投标人由此而做出的推论、理解和结论概不负责。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9.2.3 经招标采购单位允许，投标人可为勘察目的进入招标采购单位的项目现场，但投标人不得因此使招标采购单位承担有关的责任和蒙受损失。投标人应承担勘察现场的责任和风险。</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9.3投标答疑包括招标采购单位认为可以回答且不会引起投标人误解的相关问题和答复。由于投标答疑而产生的对招标文件内容的澄清或者修改，由招标采购单位按照本须知有关规定，以更正公告的方式发出。招标文件的澄清、修改、补充等内容均以招标代理机构发布的内容为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四、投标文件说明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 提示与要求</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10.1投标人应仔细阅读招标文件的所有内容，按招标文件的要求提供投标文件，并保证所提供的全部资料的真实性，以使其投标对招标文件做出实质性响应，否则，其投标可能被拒绝。</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10.2无论是否递交投标文件，投标人都应将招标文件及以后的所有通知、文件等视为保密文件。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11. 投标文件计量单位和使用文字</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11.1投标文件中所使用的计量单位，除招标文件中有特殊要求外，均应使用中华人民共和国法定计量单位。</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11.2投标文件应使用中文编制，投标文件中必须使用其他文字的，必须附有中文译本。对于未附有中文译本和中文译本不准确的投标文件可能引起的对投标人不利的后果，招标代理机构概不负责。</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12. 投标文件的组成</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12.1封面</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12.2开标一览表</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12.3投标报价分析表</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12.4资格审查文件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12.4.1满足《中华人民共和国政府采购法》第二十二条规定：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（1）具有独立承担民事责任的能力（提供包括法人或者其他组织的营业执照等证明文件，自然人的身份证明）；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（2）具有良好的商业信誉和健全的财务会计制度（提供2024年度审计报告，或银行出具的资信证明，或财政部门认可的政府采购专业担保机构出具的投标担保函）；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（3）具有履行合同所必需的设备和专业技术能力（提供证明材料或承诺）；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有依法缴纳税收和社会保障资金的良好记录（提供供应商参加本次政府采购活动前半年（至少一个月）依法缴纳税收和社会保险的凭据；依法免税或不需要缴纳社会保障资金的供应商，应提供相应证明资料证明其依法免税或不需要缴纳社会保障资金，否则不予认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（5）参加政府采购活动前三年内，在经营活动中没有重大违法记录（提供书面声明函）；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（6）法律、行政法规规定的其他条件。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12.5符合性审查文件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12.5.1投标函；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12.5.2商务条款偏离表；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12.5.3关于资格文件的声明函；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12.5.4投标单位情况表；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12.5.5法定代表人身份证复印件，法人授权委托书（如有授权）及委托代理人身份证复印件（如有授权）；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12.5.6投标（响应）保证承诺书；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12.5.7其他有关符合性证明的文件（如有）；</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12.6综合评审文件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12.6.1技术响应对照表；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12.6.2项目实施方案；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12.6.3《质保期满后三年内备品备件、易损件报价表》、《投标货物和服务数量、品牌型号、性能、交货期说明表》、《人员配备情况表》、《售后服务承诺书》；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12.6.4产品质量验收标准，质量承诺；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12.6.5类似业绩一览表；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12.6.6评分标准中要求的其他相关资料；</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12.7价格折扣文件格式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12.7.1《中小企业声明函》、《残疾人福利性单位声明函》、</w:t>
      </w:r>
      <w:r>
        <w:rPr>
          <w:rFonts w:ascii="SimSun" w:hAnsi="SimSun" w:eastAsia="SimSun" w:cs="SimSun"/>
          <w:color w:val="000000"/>
          <w:sz w:val="21"/>
        </w:rPr>
        <w:t xml:space="preserve">《关于符合本国产品标准的声明函》、</w:t>
      </w:r>
      <w:r>
        <w:rPr>
          <w:rFonts w:ascii="SimSun" w:hAnsi="SimSun" w:eastAsia="SimSun" w:cs="SimSun"/>
          <w:color w:val="000000"/>
          <w:sz w:val="21"/>
        </w:rPr>
        <w:t xml:space="preserve">省级以上监狱管理局、戒毒管理局（含新疆生产建设兵团）出具的属于监狱企业的证明文件（不属于上述企业类型无需提供）。</w:t>
      </w:r>
      <w:r/>
    </w:p>
    <w:p>
      <w:pPr>
        <w:ind w:left="0" w:right="0" w:firstLine="43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注：（1）以上12.4.1为资格审查要求提供的材料，是作为对供应商资格审查、质疑身份认定的依据，投标人必须提供并加盖电子公章。否则，投标文件将被认定为不符合资格审查要求。</w:t>
      </w:r>
      <w:r/>
    </w:p>
    <w:p>
      <w:pPr>
        <w:ind w:left="0" w:right="0" w:firstLine="43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（2）以上12.5.1-12.5.7为符合性审查须提供的资料，投标人必须提供并加盖电子公章。否则，投标文件将被认定为未实质性响应。</w:t>
      </w:r>
      <w:r/>
    </w:p>
    <w:p>
      <w:pPr>
        <w:ind w:left="0" w:right="0" w:firstLine="43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（3）“12.4-12.7”中不得出现投标总报价。</w:t>
      </w:r>
      <w:r>
        <w:rPr>
          <w:rFonts w:ascii="SimSun" w:hAnsi="SimSun" w:eastAsia="SimSun" w:cs="SimSun"/>
          <w:color w:val="000000"/>
          <w:sz w:val="21"/>
        </w:rPr>
        <w:t xml:space="preserve">投标人所提交的资料的完整与否，将直接影响投标人的评分。</w:t>
      </w:r>
      <w:r/>
    </w:p>
    <w:p>
      <w:pPr>
        <w:ind w:left="0" w:right="0" w:firstLine="43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（4）制作电子投标文件时必须与投标文件制作软件目录一一对应，将相关资料上传至相应模块。</w:t>
      </w:r>
      <w:r/>
    </w:p>
    <w:p>
      <w:pPr>
        <w:ind w:left="0" w:right="0" w:firstLine="43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开评标过程中如有问题采购代理机构工作人员会及时通过报名时在投标确认函模块留存的手机号与供应商联系。此号码在开标截止之前可修改，以投标确认函保存的最新号码为准，请供应商确保该手机号开评标当日通讯畅通，否则导致的对供应商不利的后果由供应商自行承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13. 投标文件编制要求</w:t>
      </w:r>
      <w:r/>
    </w:p>
    <w:p>
      <w:pPr>
        <w:ind w:left="0" w:right="0" w:firstLine="420"/>
        <w:jc w:val="both"/>
        <w:spacing w:before="0" w:after="0" w:line="85" w:lineRule="atLeast"/>
        <w:tabs>
          <w:tab w:val="left" w:pos="50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w:t>
      </w:r>
      <w:r>
        <w:rPr>
          <w:rFonts w:ascii="SimSun" w:hAnsi="SimSun" w:eastAsia="SimSun" w:cs="SimSun"/>
          <w:b/>
          <w:color w:val="000000"/>
          <w:sz w:val="21"/>
        </w:rPr>
        <w:t xml:space="preserve">投标文件按统一格式、顺序编写</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13.2《开标一览表》为在开标仪式上唱标的内容，要求按格式填写，统一规范，不得自行增减内容。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14. 投标报价（编制）要求的说明</w:t>
      </w:r>
      <w:r/>
    </w:p>
    <w:p>
      <w:pPr>
        <w:ind w:left="0" w:right="0" w:firstLine="420"/>
        <w:jc w:val="both"/>
        <w:spacing w:before="0" w:after="0" w:line="85" w:lineRule="atLeast"/>
        <w:tabs>
          <w:tab w:val="left" w:pos="50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14.1投标报价应包括完成该标的物全部内容的一切费用。投标报价为最终报价，投标人所报价格在合同实施期间不因市场变化因素而变动。</w:t>
      </w:r>
      <w:r/>
    </w:p>
    <w:p>
      <w:pPr>
        <w:ind w:left="0" w:right="0" w:firstLine="420"/>
        <w:jc w:val="both"/>
        <w:spacing w:before="0" w:after="0" w:line="85" w:lineRule="atLeast"/>
        <w:tabs>
          <w:tab w:val="left" w:pos="50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 投标人应按《投标报价分析表》中的全部服务内容的每一单项计算并填写单价和总价，并由企业法定代表人或委托代理人签署。</w:t>
      </w:r>
      <w:r/>
    </w:p>
    <w:p>
      <w:pPr>
        <w:ind w:left="0" w:right="0" w:firstLine="420"/>
        <w:jc w:val="both"/>
        <w:spacing w:before="0" w:after="0" w:line="85" w:lineRule="atLeast"/>
        <w:tabs>
          <w:tab w:val="left" w:pos="50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14.3 一项投标内容只允许一个报价，采购单位不接受任何有选择性的投标报价。投标人应对招标文件内所要采购的全部内容进行报价，只投其中部分内容者，其标书将被拒绝。但如果招标文件要求分标段投标的，则投标人可以有选择地只投其中一个或几个标段，也可以投全部标段，但各标段应分别计算填写单价和总价。</w:t>
      </w:r>
      <w:r/>
    </w:p>
    <w:p>
      <w:pPr>
        <w:ind w:left="0" w:right="0" w:firstLine="420"/>
        <w:jc w:val="both"/>
        <w:spacing w:before="0" w:after="0" w:line="85" w:lineRule="atLeast"/>
        <w:tabs>
          <w:tab w:val="left" w:pos="50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14.4 投标文件报价采用人民币表示，除非合同的特殊条款另有规定。</w:t>
      </w:r>
      <w:r/>
    </w:p>
    <w:p>
      <w:pPr>
        <w:ind w:left="0" w:right="0" w:firstLine="420"/>
        <w:jc w:val="both"/>
        <w:spacing w:before="0" w:after="0" w:line="85" w:lineRule="atLeast"/>
        <w:tabs>
          <w:tab w:val="left" w:pos="50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14.5 最低的投标报价是中标的重要条件但不是唯一条件。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15. 投标保证金（本项目无需缴纳）</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16. 投标文件的有效期</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16.1自开标日起60天内，投标书应保持有效。有效期短于这个规定期限的投标文件，将被拒绝。</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在特殊情况下，招标代理机构可与投标人协商延长投标书的有效期。这种要求和答复都应以书面、传真、或电报的形式进行。同意延长有效期的投标人不能修改投标文件。拒绝接受延期要求的投标人的投标将被拒绝。</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17. 投标文件的制作、签署、上传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17.1本项目采用电子招投标形式，请供应商按照</w:t>
      </w:r>
      <w:r>
        <w:rPr>
          <w:rFonts w:ascii="SimSun" w:hAnsi="SimSun" w:eastAsia="SimSun" w:cs="SimSun"/>
          <w:b/>
          <w:color w:val="000000"/>
          <w:sz w:val="21"/>
        </w:rPr>
        <w:t xml:space="preserve">《苏采云系统供应商操作手册》</w:t>
      </w:r>
      <w:r>
        <w:rPr>
          <w:rFonts w:ascii="SimSun" w:hAnsi="SimSun" w:eastAsia="SimSun" w:cs="SimSun"/>
          <w:color w:val="000000"/>
          <w:sz w:val="21"/>
        </w:rPr>
        <w:t xml:space="preserve">进行制作、上传电子投标文件。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17.2制作电子投标文件时，应按照招标文件要求加盖投标人电子公章。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17.3</w:t>
      </w:r>
      <w:r>
        <w:rPr>
          <w:rFonts w:ascii="SimSun" w:hAnsi="SimSun" w:eastAsia="SimSun" w:cs="SimSun"/>
          <w:b/>
          <w:color w:val="000000"/>
          <w:sz w:val="21"/>
        </w:rPr>
        <w:t xml:space="preserve">电子投标文件制作完成后请于投标文件网上提交截止时间前成功上传至“苏采云”系统，否则视为放弃参加该采购项目。</w:t>
      </w:r>
      <w:r>
        <w:rPr>
          <w:rFonts w:ascii="SimSun" w:hAnsi="SimSun" w:eastAsia="SimSun" w:cs="SimSun"/>
          <w:color w:val="000000"/>
          <w:sz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五、投标文件的递交（上传）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18. 投标文件的递交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18.1投标人应当在投标截止时间前制作并上传电子投标文件。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18.2投标人通过</w:t>
      </w:r>
      <w:r>
        <w:rPr>
          <w:rFonts w:ascii="SimSun" w:hAnsi="SimSun" w:eastAsia="SimSun" w:cs="SimSun"/>
          <w:b/>
          <w:color w:val="000000"/>
          <w:sz w:val="21"/>
        </w:rPr>
        <w:t xml:space="preserve">“苏采云”系统不见面开标大厅在线参与开标活动。（具体操作详见《苏采云系统供应商操作手册》，网址链接https://czju.suzhou.gov.cn/zfcg/html/content/20231220161910031.shtml）</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18.3纸质投标文件：</w:t>
      </w:r>
      <w:r>
        <w:rPr>
          <w:rFonts w:ascii="SimSun" w:hAnsi="SimSun" w:eastAsia="SimSun" w:cs="SimSun"/>
          <w:color w:val="000000"/>
          <w:sz w:val="21"/>
        </w:rPr>
        <w:t xml:space="preserve">中标后5个工作日内，中标单位向招标代理机构提供与电子投标文件内容一致的纸质投标文件两份。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19. 投标截止时间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19.1投标人应当在招标文件要求投标文件网上提交截止时间前，将投标文件完成提交（上传）。逾期提交（上传）的投标文件，采购人和采购代理机构拒绝接收。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19.2采购人和采购代理机构推迟投标截止时间时，将按本须知规定的更正公告的方式对外发布。在这种情况下，采购人、采购代理机构和投标人的权利和义务将受到新的截止期的约束。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19.3在投标截止时间止成功解密的投标文件少于三份，采购代理机构有权宣布本次招标失败。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 投标文件的补充、修改和撤回</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20.1投标人在投标文件网上提交截止时间前，可以对其电子投标文件进行补充、修改，具体操作方法见</w:t>
      </w:r>
      <w:r>
        <w:rPr>
          <w:rFonts w:ascii="SimSun" w:hAnsi="SimSun" w:eastAsia="SimSun" w:cs="SimSun"/>
          <w:b/>
          <w:color w:val="000000"/>
          <w:sz w:val="21"/>
        </w:rPr>
        <w:t xml:space="preserve">《苏采云系统供应商操作手册》</w:t>
      </w:r>
      <w:r>
        <w:rPr>
          <w:rFonts w:ascii="SimSun" w:hAnsi="SimSun" w:eastAsia="SimSun" w:cs="SimSun"/>
          <w:color w:val="000000"/>
          <w:sz w:val="21"/>
        </w:rPr>
        <w:t xml:space="preserve">。在投标文件网上提交截止时间之后，投标人不得对其电子投标文件作任何修改。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20.2投标人在投标文件网上提交截止时间前，可以撤回其电子投标文件，具体操作方法见</w:t>
      </w:r>
      <w:r>
        <w:rPr>
          <w:rFonts w:ascii="SimSun" w:hAnsi="SimSun" w:eastAsia="SimSun" w:cs="SimSun"/>
          <w:b/>
          <w:color w:val="000000"/>
          <w:sz w:val="21"/>
        </w:rPr>
        <w:t xml:space="preserve">《苏采云系统供应商操作手册》</w:t>
      </w:r>
      <w:r>
        <w:rPr>
          <w:rFonts w:ascii="SimSun" w:hAnsi="SimSun" w:eastAsia="SimSun" w:cs="SimSun"/>
          <w:color w:val="000000"/>
          <w:sz w:val="21"/>
        </w:rPr>
        <w:t xml:space="preserve">。投标人撤回电子投标文件，则认为其不再参与本项目投标活动。在投标截止时间至招标文件中规定的投标有效期满之间的这段时间内，投标人不得撤回其投标。</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 开标和评标</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21. 开标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21.1开标由采购代理机构在线主持，邀请投标人在线参加。投标人应当按照《苏采云系统供应商操作手册》规定，</w:t>
      </w:r>
      <w:r>
        <w:rPr>
          <w:rFonts w:ascii="SimSun" w:hAnsi="SimSun" w:eastAsia="SimSun" w:cs="SimSun"/>
          <w:b/>
          <w:color w:val="000000"/>
          <w:sz w:val="21"/>
        </w:rPr>
        <w:t xml:space="preserve">参加开标活动和在“苏采云”系统规定的时间内对投标文件进行解密。</w:t>
      </w:r>
      <w:r>
        <w:rPr>
          <w:rFonts w:ascii="SimSun" w:hAnsi="SimSun" w:eastAsia="SimSun" w:cs="SimSun"/>
          <w:color w:val="000000"/>
          <w:sz w:val="21"/>
        </w:rPr>
        <w:t xml:space="preserve">评标委员会成员不得参加开标活动。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21.3资格审查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21.3.1公开招标采购项目开标结束后，采购人或采购代理机构应当依法对投标人的资格进行审查，未通过资格审查的视为无效投标。</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 评标委员会或评标小组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22.1评标委员会或评标小组（以下简称评标委员会）成员依法组建。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22.2评标委员会或评标小组负责具体的评标事务，并独立履行以下职责：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22.2.1审查、评价投标文件是否符合招标文件的商务、技术等实质性要求；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22.2.2要求投标人对投标文件有关事项作出澄清或者说明；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22.2.3对投标文件进行比较和评价；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22.2.4确定中标候选人名单，以及根据采购单位委托直接确定中标单位；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22.2.5向采购单位、采购代理机构或者有关部门报告评标中发现的违法行为。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22.3评标委员会成员应当履行下列义务：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22.3.1遵纪守法，客观、公正、廉洁地履行职责；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22.3.2按照招标文件规定的评标方法和评标标准进行评标，对评审意见承担个人责任；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22.3.3对评标过程和结果，以及投标人的商业秘密保密；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22.3.4参与评标报告的起草；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22.3.5配合财政部门的投诉处理工作；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22.3.6配合招标采购单位答复投标供应商提出的质疑。</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23. 评标内容的保密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23.1公开开标后，直到宣布授予中标单位合同为止，凡属于审查、澄清、评价和比较投标的所有资料，有关授予合同的信息都不应向投标人或与评标无关的其他人泄露。</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23.2在投标文件的审查、澄清、评价和比较以及授予合同的过程中，投标人对招标代理机构和评标委员会成员施加影响的任何行为，都将取消其中标资格。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23.3在评标期间，招标代理机构将通过指定联络人与投标人进行联系。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24. 对投标文件初审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24.1评标委员会应当对符合资格的投标人的投标文件进行符合性审查，以确定其是否满足招标文件的实质性要求。</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投标文件有下列情况之一者将被拒绝：</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24.1.1投标人的投标文件未按照本须知规定制作的；</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24.1.2未按本须知规定提交资格文件或资质不合格；</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24.1.3与招标文件有重大偏离；</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24.1.4投标人拒绝修正错误；</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24.1.5投标人的报价是选择性的；</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24.1.6投标人的报价只投了部分内容；</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24.1.7投标人的报价超采购预算或经评标小组评定为无效报价；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24.1.8其他被评委会认定无效的情况。</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24.2根据政府采购法及相关法规的规定，将对供应商进行信用查询，凡经确认不符合政府采购相关法律法规规定的，将拒绝其参与政府采购活动。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24.2.1查询时间：投标文件递交截止时间后。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24.2.2查询渠道：采购代理机构会在接收投标文件截止时间后，登录信用中国网站（www.creditchina.gov.cn）查询供应商的信用记录，并将查询结果递交评标委员会。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24.2.3查询证据留存方式：采购人、采购代理机构工作人员等应按照相关管理办法查询相关主体的信用记录，并保存好相关证据材料，信用查询记录及相关证据应当归入采购档案妥善保管。采购代理机构工作人员应登录到来源网站页面进行复核并打印，作为证据留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24.2.4采购过程中将对供应商信用记录进行甄别，对列入失信被执行人、重大税收违法失信主体名单、政府采购严重违法失信行为记录名单及其他不符合《中华人民共和国政府采购法》第二十二条规定条件的供应商，应当拒绝其参与政府采购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24.2.5信用记录使用规则：对供应商进行资格性审查时，应根据查询结果对供应商的不良信用记录逐项甄别确认。按照《中华人民共和国政府采购法》第二十二条规定，下列信用记录属于应依法拒绝供应商参加政府采购的失信信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（一）政府采购严重违法记录，即供应商被全国各级财政部门列入“政府采购严重违法失信行为记录名单”，且在处罚有效期内的。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（二）财政部门与法院、工商、税务等部门联合惩戒的失信信息，包括：</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（1）被列入失信被执行人名单；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（2）被列入重大税收违法失信主体名单；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企业经营异常名录中被责令停产停业、暂扣或者吊销许可证或者执照，或者对经营活动中的违法行为处以较大数额罚款（“较大数额罚款”认定为200万元以上的罚款，法律、行政法规以及国务院有关部门明确规定相关领域“较大数额罚款”标准高于200万元的，从其规定）的信用记录。处罚生效日至递交（响应）文件日未满三年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24.3在详细评标之前，评委会将首先审查每份投标书是否实质响应了招标文件的要求。实质上响应的投标应该是与招标文件的全部条款、条件和规格相符，没有重大偏离或保留。所谓重大偏离或保留是指影响合同的货物和服务范围、质量和性能等；或者在实质上与招标文件不一致〔如货物和服务的质量、范围及服务的期限和服务的内容明显不能满足招标文件的要求〕，而且限制了合同中需方的权利或投标人的义务。这些偏离或保留将会对其他实质上响应要求的投标人的竞争地位产生不公正的影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24.4招标代理机构将允许修改投标中不构成重大偏离的微小的、非正规、不一致或不规则的地方，但这些修改不能影响任何投标人的名次相应排列。投标人不得对招标文件进行实质性修改，否则投标文件将被拒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24.5评委会将对确定为实质上响应的投标进行审核，看其是否有计算上或累加上的算术错误，修正错误的原则如下：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24.5.1投标文件中开标一览表（报价表）内容与投标文件中相应内容不一致的，以开标一览表（报价表）为准；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24.5.2大写金额和小写金额不一致的，以大写金额为准；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24.5.3单价金额小数点或者百分比有明显错位的，以开标一览表的总价为准，并修改单价；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24.5.4总价金额与按单价汇总金额不一致的，以单价金额计算结果为准。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24.5.5同时出现两种以上不一致的，按照前款规定的顺序修正。修正后的报价按照《政府采购货物和服务招标投标管理办法（中华人民共和国财政部令第87号）》第五十一条第二款的规定经投标人确认后产生约束力，投标人不确认的，其投标无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24.6招标代理机构对投标文件的判定，只依据投标内容本身，不依靠开标后的任何外来证明。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24.7招标代理机构将拒绝被确定为非实质性响应的投标，投标人不能通过修正或撤销不符之处而使其投标成为实质性响应的投标。</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25. 投标的澄清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25.1对于投标文件中含义不明确、同类问题表述不一致或者有明显文字和计算错误的内容，评标委员会应当以书面形式要求投标人作出必要的澄清、说明或者补正。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25.2投标人的澄清、说明或者补正应当采用书面形式，并加盖其单位电子公章。投标人的澄清、说明或者补正不得超出投标文件的范围或者改变投标文件的实质性内容。</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ascii="SimSun" w:hAnsi="SimSun" w:eastAsia="SimSun" w:cs="SimSun"/>
          <w:color w:val="000000"/>
          <w:sz w:val="21"/>
        </w:rPr>
        <w:t xml:space="preserve">(</w:t>
      </w:r>
      <w:r>
        <w:rPr>
          <w:rFonts w:ascii="SimSun" w:hAnsi="SimSun" w:eastAsia="SimSun" w:cs="SimSun"/>
          <w:b/>
          <w:color w:val="000000"/>
          <w:sz w:val="21"/>
        </w:rPr>
        <w:t xml:space="preserve">此处规定时间的计算以系统中的倒计时间为准，</w:t>
      </w:r>
      <w:r>
        <w:rPr>
          <w:rFonts w:ascii="SimSun" w:hAnsi="SimSun" w:eastAsia="SimSun" w:cs="SimSun"/>
          <w:color w:val="000000"/>
          <w:sz w:val="21"/>
        </w:rPr>
        <w:t xml:space="preserve">供应商应随时保持系统在线，如因供应商自身原因未在规定时间内提交澄清确认资料的，导致的不利后果由供应商自行承担。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26．无效投标的具体情形有：</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26.1未按照招标文件的规定提交《投标（响应）保证承诺书》；</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26.2投标文件未按招标文件要求签署、盖章的；</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26.3不具备招标文件中规定的资格要求的；</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26.4报价超过招标文件中规定的预算金额或者最高限价的；</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26.5投标文件含有采购单位不能接受的附加条件的；</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26.6不同投标（响应）文件制作机器码一致的；</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26.7法律、法规和招标文件规定的其他无效情形。</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27.废标的具体情形有：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27.1符合专业条件的供应商或者对招标文件作实质响应的供应商不足三家的；</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27.2出现影响采购公正的违法、违规行为的；</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27.3投标人的报价均超过了采购预算或最高限价，采购单位不能支付的；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27.4因重大变故，采购任务取消的。</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28. 投标文件的评价和比较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28.1评标委员会将仅对按照本须知有关规定确定为实质上响应招标文件要求的投标文件进行评价和比较。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28.2评价和比较采用综合评分法，即指在最大限度地满足招标文件实质性要求的前提下，按照本招标文件中规定的评标方法和评分标准及其他各项因素进行综合评审后，以评标总得分最高的投标人作为中标候选人或中标单位的评标方法。评标委员会严格按照招标文件的要求、条件、评分标准，对投标人所提供的综合服务计划的科学性、可行性、服务质量保证承诺等实质性响应内容进行比较评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28.3 最低的投标报价是中标的重要条件但不是唯一条件。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28.4评标原则及方法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28.4.1公正、公平、公开、科学、择优。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28.4.2对所有投标文件的评审，均采用相同的程序和标准。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28.4.2.1评审方案的可行性、先进性、实用性以及风险等（含同类项目业绩，人员资质，实施本项目的资金能力、技术能力、履约能力和用户信誉等方面的从业表现等）。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28.4.2.2评审技术服务的承诺文件是否满足采购单位的要求。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28.4.2.3评委会根据评分标准（除报价）进行独立打分，招标代理机构进行汇总并按算术平均方法计算出各投标单位的得分，报价得分根据评分标准直接计算取得，评委得分与报价得分之和最高者为中标单位。</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七、授予合同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29. 中标单位的确认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29.1评标委员会根据资格审查情况和符合性审查情况，对投标文件进行评价和比较，按照评标办法和标准进行评标，并按采购人书面授权向招标代理机构推荐中标单位。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29.2经评标委员会评审并确定中标单位后，招标代理机构将在规定的时间内将中标结果在政府采购管理部门指定媒体上予以公示。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29.3政府采购合同履行中，采购单位需追加与合同标的相同的货物、工程或服务的，在不改变合同其他条款的前提下，可以与供应商协商签订补充合同，但所有补充合同的采购金额不得超过原合同采购金额的10%。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30.质疑处理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30.2本次招标文件要求供应商在法定质疑期内一次性提出针对同一采购程序环节的质疑，否则不予受理。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30.3供应商提出质疑应当提交质疑函和必要的证明材料，质疑函应当包括下列内容：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（1）供应商的姓名或者名称（以提供的营业执照副本复印件为准）、地址、邮编、联系人及联系电话；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（2）质疑项目的名称、编号；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（3）具体、明确的质疑事项和与质疑事项相关的请求；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（4）事实依据；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（5）必要的法律依据；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（6）提出质疑的日期。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供应商为自然人的，应当由本人签字；供应商为法人或者其他组织的，应当由法定代表人、主要负责人，或者其授权代表签字或者盖章，并加盖公章。供应商委托代理进行质疑的，其</w:t>
      </w:r>
      <w:r>
        <w:rPr>
          <w:rFonts w:ascii="SimSun" w:hAnsi="SimSun" w:eastAsia="SimSun" w:cs="SimSun"/>
          <w:b/>
          <w:color w:val="000000"/>
          <w:sz w:val="21"/>
        </w:rPr>
        <w:t xml:space="preserve">授权委托书</w:t>
      </w:r>
      <w:r>
        <w:rPr>
          <w:rFonts w:ascii="SimSun" w:hAnsi="SimSun" w:eastAsia="SimSun" w:cs="SimSun"/>
          <w:color w:val="000000"/>
          <w:sz w:val="21"/>
        </w:rPr>
        <w:t xml:space="preserve">上应当载明代理人的姓名或者名称、代理事项、具体权限、期限和相关事项。</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供应商提交的质疑函必须按照《政府采购供应商质疑函范本》要求的格式和内容进行填写，质疑函范本下载网址详见链接：https://czju.suzhou.gov.cn/zfcg/html/content/20180305093615738.shtml</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ascii="SimSun" w:hAnsi="SimSun" w:eastAsia="SimSun" w:cs="SimSun"/>
          <w:b/>
          <w:color w:val="000000"/>
          <w:sz w:val="21"/>
        </w:rPr>
        <w:t xml:space="preserve">《投标供应商确认函》</w:t>
      </w:r>
      <w:r>
        <w:rPr>
          <w:rFonts w:ascii="SimSun" w:hAnsi="SimSun" w:eastAsia="SimSun" w:cs="SimSun"/>
          <w:color w:val="000000"/>
          <w:sz w:val="21"/>
        </w:rPr>
        <w:t xml:space="preserve">）与质疑函一起递交，否则不予受理。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30.5接收质疑函的方式：书面形式（当场送达或邮寄方式）。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采购代理机构：江苏省设备成套股份有限公司</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质疑联系人：赵工、朱工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联系电话：025-83325825</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现场递交地址:南京市鼓楼区清江南路18号鼓楼创新广场10楼1001室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邮寄收取地址:南京市鼓楼区清江南路18号鼓楼创新广场10楼1001室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31. 合同授予标准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31.1招标代理机构将把合同授予其投标文件在实质上响应招标文件要求和按本须知规定评选出的投标单位。确定为中标的投标单位必须具有实施本合同的能力和资源。</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32. 中标通知书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32.1确定出中标人后，采购代理机构在法定时间内向中标人发出中标通知书。</w:t>
      </w:r>
      <w:r>
        <w:rPr>
          <w:rFonts w:ascii="SimSun" w:hAnsi="SimSun" w:eastAsia="SimSun" w:cs="SimSun"/>
          <w:b/>
          <w:color w:val="000000"/>
          <w:sz w:val="21"/>
        </w:rPr>
        <w:t xml:space="preserve">请中标人在中标结果公告届满之日起30日内,使用CA证书登录“苏采云”系统及时下载中标通知书。</w:t>
      </w:r>
      <w:r>
        <w:rPr>
          <w:rFonts w:ascii="SimSun" w:hAnsi="SimSun" w:eastAsia="SimSun" w:cs="SimSun"/>
          <w:color w:val="000000"/>
          <w:sz w:val="21"/>
        </w:rPr>
        <w:t xml:space="preserve">因系统存储空间有限，自中标结果公告届满之日起30日后，“苏采云”系统不再保证提供下载中标通知书服务,因未及时下载而造成的不利后果由中标人自行承担。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32.2中标通知书将成为合同的组成部分，对采购人和中标人具有同等法律效力。</w:t>
      </w:r>
      <w:r/>
    </w:p>
    <w:p>
      <w:pPr>
        <w:ind w:left="0" w:right="0" w:firstLine="420"/>
        <w:jc w:val="both"/>
        <w:spacing w:before="0" w:after="0" w:line="85" w:lineRule="atLeast"/>
        <w:tabs>
          <w:tab w:val="left" w:pos="142" w:leader="none"/>
          <w:tab w:val="left" w:pos="6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32.3对未通过资格审查的供应商，应当告知其未通过的原因；未中标供应商须在中标公告发出之日起2个工作日内向采购代理机构另行提供用以接收《未中标通知书》的电子邮件地址，未按时提供电子邮件地址或提供信息有误的，视为自动放弃并自行承担相应后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32.4中标通知书发出后，采购人不得违法改变中标结果，中标人无正当理由不得放弃中标。</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33. 合同的签订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33.1中标单位应按中标通知书中规定的时间和地点，由法定代表人或委托代理人与甲方代表签订合同,否则按放弃中标权处理。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33.2签订合同及合同条款应以招标文件和中标单位的投标文件及其澄清文件为依据。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33.3中标单位无正当理由拒签合同的，或在签订合同时向采购单位提出附加条件或者更改合同实质性内容的，报请政府采购监管部门对该投标单位进行相应的行政处罚。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八、其他事项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34. 履约保证金：无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34.1按照《江苏省财政厅国家金融监管总局江苏监管局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35.中标服务费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35.1中标单位须按前附表规定支付中标服务费，该费用应在领取中标通知书时付清。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35.2中标单位如果未按规定缴纳中标服务费，招标代理机构保留诉讼的权利。</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36. 监督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36.1政府有关监督部门将对招投标全过程进行监督。</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37. 未尽事宜</w:t>
      </w:r>
      <w:r/>
    </w:p>
    <w:p>
      <w:pPr>
        <w:ind w:left="42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按《中华人民共和国政府采购法》及其他有关政府采购的法律法规的规定执行。</w:t>
      </w:r>
      <w:r/>
    </w:p>
    <w:p>
      <w:pPr>
        <w:ind w:left="0" w:right="0" w:firstLine="0"/>
        <w:spacing w:before="0" w:after="0"/>
        <w:tabs>
          <w:tab w:val="left" w:pos="8302" w:leader="none"/>
        </w:tabs>
        <w:pBdr>
          <w:top w:val="none" w:color="000000" w:sz="4" w:space="0"/>
          <w:left w:val="none" w:color="000000" w:sz="4" w:space="0"/>
          <w:bottom w:val="none" w:color="000000" w:sz="4" w:space="0"/>
          <w:right w:val="none" w:color="000000" w:sz="4" w:space="0"/>
        </w:pBdr>
      </w:pPr>
      <w:r>
        <w:br w:type="page" w:clear="all"/>
      </w:r>
      <w:r/>
    </w:p>
    <w:p>
      <w:pPr>
        <w:ind w:left="0" w:right="0" w:firstLine="640"/>
        <w:jc w:val="center"/>
        <w:spacing w:before="240" w:after="240" w:line="85" w:lineRule="atLeast"/>
        <w:tabs>
          <w:tab w:val="left" w:pos="830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第三章</w:t>
      </w:r>
      <w:r>
        <w:rPr>
          <w:rFonts w:ascii="Calibri" w:hAnsi="Calibri" w:eastAsia="Calibri" w:cs="Calibri"/>
          <w:b/>
          <w:color w:val="000000"/>
          <w:sz w:val="32"/>
        </w:rPr>
        <w:t xml:space="preserve"> </w:t>
      </w:r>
      <w:r>
        <w:rPr>
          <w:rFonts w:ascii="SimSun" w:hAnsi="SimSun" w:eastAsia="SimSun" w:cs="SimSun"/>
          <w:b/>
          <w:color w:val="000000"/>
          <w:sz w:val="32"/>
        </w:rPr>
        <w:t xml:space="preserve">投标文件格式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说明：对本章所有的投标书格式 ，投标方可根据自身情况进行补充和修改，但补充和修改不得造成与本格式内容有实质性的违背。</w:t>
      </w:r>
      <w:r/>
    </w:p>
    <w:p>
      <w:pPr>
        <w:pStyle w:val="956"/>
        <w:numPr>
          <w:ilvl w:val="0"/>
          <w:numId w:val="0"/>
        </w:numPr>
        <w:jc w:val="both"/>
        <w:spacing w:before="0" w:after="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2"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附件1、（投标方）法人授权委托书</w:t>
      </w:r>
      <w:r/>
    </w:p>
    <w:p>
      <w:pPr>
        <w:ind w:left="0" w:right="0" w:firstLine="56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法人授权委托书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本授权书声明： </w:t>
      </w:r>
      <w:r>
        <w:rPr>
          <w:rFonts w:ascii="SimSun" w:hAnsi="SimSun" w:eastAsia="SimSun" w:cs="SimSun"/>
          <w:color w:val="000000"/>
          <w:sz w:val="21"/>
          <w:u w:val="single"/>
        </w:rPr>
        <w:t xml:space="preserve">（供应商名称）</w:t>
      </w:r>
      <w:r>
        <w:rPr>
          <w:rFonts w:ascii="SimSun" w:hAnsi="SimSun" w:eastAsia="SimSun" w:cs="SimSun"/>
          <w:color w:val="000000"/>
          <w:sz w:val="21"/>
        </w:rPr>
        <w:t xml:space="preserve">授权 </w:t>
      </w:r>
      <w:r>
        <w:rPr>
          <w:rFonts w:ascii="SimSun" w:hAnsi="SimSun" w:eastAsia="SimSun" w:cs="SimSun"/>
          <w:color w:val="000000"/>
          <w:sz w:val="21"/>
          <w:u w:val="single"/>
        </w:rPr>
        <w:t xml:space="preserve">（被授权人的姓名）_</w:t>
      </w:r>
      <w:r>
        <w:rPr>
          <w:rFonts w:ascii="SimSun" w:hAnsi="SimSun" w:eastAsia="SimSun" w:cs="SimSun"/>
          <w:color w:val="000000"/>
          <w:sz w:val="21"/>
        </w:rPr>
        <w:t xml:space="preserve">为我方授权代表（即代理人），参加</w:t>
      </w:r>
      <w:r>
        <w:rPr>
          <w:rFonts w:ascii="SimSun" w:hAnsi="SimSun" w:eastAsia="SimSun" w:cs="SimSun"/>
          <w:color w:val="000000"/>
          <w:sz w:val="21"/>
          <w:u w:val="single"/>
        </w:rPr>
        <w:t xml:space="preserve">江苏省设备成套股份有限公司</w:t>
      </w:r>
      <w:r>
        <w:rPr>
          <w:rFonts w:ascii="SimSun" w:hAnsi="SimSun" w:eastAsia="SimSun" w:cs="SimSun"/>
          <w:color w:val="000000"/>
          <w:sz w:val="21"/>
        </w:rPr>
        <w:t xml:space="preserve">组织实施的编号为</w:t>
      </w:r>
      <w:r>
        <w:rPr>
          <w:rFonts w:ascii="SimSun" w:hAnsi="SimSun" w:eastAsia="SimSun" w:cs="SimSun"/>
          <w:color w:val="000000"/>
          <w:sz w:val="21"/>
          <w:u w:val="single"/>
        </w:rPr>
        <w:t xml:space="preserve">   （招标编号）   </w:t>
      </w:r>
      <w:r>
        <w:rPr>
          <w:rFonts w:ascii="SimSun" w:hAnsi="SimSun" w:eastAsia="SimSun" w:cs="SimSun"/>
          <w:color w:val="000000"/>
          <w:sz w:val="21"/>
        </w:rPr>
        <w:t xml:space="preserve">的公开招标项目。代理人在本次招标活动过程、合同签订及处理有关事宜所作出的全部意思表示（包括签署的全部文件），我司均予以承认并由我司承担相应法律后果。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本授权委托书有效期自委托书作出之日起至本项目合同履行完毕之日止。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代理人无转委托权。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被授权人身份证号码：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被授权人联系电话：</w:t>
      </w:r>
      <w:r>
        <w:rPr>
          <w:rFonts w:ascii="SimSun" w:hAnsi="SimSun" w:eastAsia="SimSun" w:cs="SimSun"/>
          <w:color w:val="000000"/>
          <w:sz w:val="21"/>
          <w:u w:val="single"/>
        </w:rPr>
        <w:t xml:space="preserve">（手机）                </w:t>
      </w: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单位名称：（签章）                                   </w:t>
      </w:r>
      <w:r/>
    </w:p>
    <w:p>
      <w:pPr>
        <w:ind w:left="0" w:right="63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　　　　年　　  月　　  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附：法人代表、授权代表的身份证正反面复印件</w:t>
      </w:r>
      <w:r/>
    </w:p>
    <w:tbl>
      <w:tblPr>
        <w:tblStyle w:val="70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565"/>
      </w:tblGrid>
      <w:tr>
        <w:trPr>
          <w:trHeight w:val="646"/>
        </w:trPr>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8565" w:type="dxa"/>
            <w:vAlign w:val="center"/>
            <w:textDirection w:val="lrTb"/>
            <w:noWrap w:val="false"/>
          </w:tcPr>
          <w:p>
            <w:pPr>
              <w:ind w:left="0" w:right="0" w:firstLine="422"/>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要求：真实、有效、清晰</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附件2、投标函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投标函</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江苏省设备成套股份有限公司</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我们收到贵公司</w:t>
      </w:r>
      <w:r>
        <w:rPr>
          <w:rFonts w:ascii="Times New Roman" w:hAnsi="Times New Roman" w:eastAsia="Times New Roman" w:cs="Times New Roman"/>
          <w:color w:val="000000"/>
          <w:sz w:val="21"/>
          <w:u w:val="single"/>
        </w:rPr>
        <w:t xml:space="preserve">               </w:t>
      </w:r>
      <w:r>
        <w:rPr>
          <w:rFonts w:ascii="Times New Roman" w:hAnsi="Times New Roman" w:eastAsia="Times New Roman" w:cs="Times New Roman"/>
          <w:color w:val="000000"/>
          <w:sz w:val="21"/>
        </w:rPr>
        <w:t xml:space="preserve">号招标文件，经仔细阅读和研究，我们决定参加投标。</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我们愿意按照招标文件的一切要求，提供本项目货物及服务工作，投标总报价包括产品供货、辅助材料、备品备件、运输、仓储、发货、送货、安装、调试、人工、机械、装卸、培训、保险、运费、各种税费、报关（如为进口）、劳保、专利技术及质保等完成本次项目所需的一切费用。</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2.如果我们的投标书被接受，我们将严格履行招标文件中规定的每一项要求，按期、按质、按量履行合同的义务。</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3.我们同意按招标文件中的规定，本投标书的有效期限为开标后</w:t>
      </w:r>
      <w:r>
        <w:rPr>
          <w:rFonts w:ascii="Times New Roman" w:hAnsi="Times New Roman" w:eastAsia="Times New Roman" w:cs="Times New Roman"/>
          <w:color w:val="000000"/>
          <w:sz w:val="21"/>
          <w:u w:val="single"/>
        </w:rPr>
        <w:t xml:space="preserve"> 60</w:t>
      </w:r>
      <w:r>
        <w:rPr>
          <w:rFonts w:ascii="Times New Roman" w:hAnsi="Times New Roman" w:eastAsia="Times New Roman" w:cs="Times New Roman"/>
          <w:color w:val="000000"/>
          <w:sz w:val="21"/>
        </w:rPr>
        <w:t xml:space="preserve">天。</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4.我们愿意提供招标代理机构在招标文件中要求的所有资料。</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5.我们愿意遵守招标文件中所列的收费标准。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6.我们承诺该项投标在开标后的全过程中保持有效，不作任何更改和变动。</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7.如果我们中标，我们愿意按前附表的规定支付中标服务费；</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8.我们愿意按照贵公司招标文件的要求提供电子投标文件（中标后提供纸质投标文件），并保证全部投标文件内容真实有效，若有虚假，我公司愿意承担与此相关的一切责任；</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9.我们愿意按照《中华人民共和国民法典》履行自己应该承担的全部责任。</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10.综合说明：</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（1）伴随服务及配合措施；</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（2）要求甲方提供的配合；</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（3）对招标文件有不同意见的偏离说明；</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（4）其它说明。</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所有有关标书的函电，请按下列地址联系：</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单位：              联系人：</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地址：              邮政编码：</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联系电话：          传真：</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邮箱地址：</w:t>
      </w:r>
      <w:r/>
    </w:p>
    <w:p>
      <w:pPr>
        <w:ind w:left="3825"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投标单位：（签章）</w:t>
      </w:r>
      <w:r/>
    </w:p>
    <w:p>
      <w:pPr>
        <w:ind w:left="0" w:right="0" w:firstLine="378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日期：      年     月     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
        <w:br w:type="page" w:clear="all"/>
      </w:r>
      <w: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附件3、开标一览表</w:t>
      </w:r>
      <w:r/>
    </w:p>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开标一览表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招标编号：            号                    </w:t>
      </w:r>
      <w:r/>
    </w:p>
    <w:tbl>
      <w:tblPr>
        <w:tblStyle w:val="70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55"/>
        <w:gridCol w:w="2490"/>
        <w:gridCol w:w="2929"/>
        <w:gridCol w:w="1855"/>
      </w:tblGrid>
      <w:tr>
        <w:trPr>
          <w:trHeight w:val="82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55" w:type="dxa"/>
            <w:vAlign w:val="center"/>
            <w:textDirection w:val="lrTb"/>
            <w:noWrap w:val="false"/>
          </w:tcPr>
          <w:p>
            <w:pPr>
              <w:ind w:left="0" w:right="0" w:firstLine="422"/>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9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29"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总价（元）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55"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备注</w:t>
            </w:r>
            <w:r/>
          </w:p>
        </w:tc>
      </w:tr>
      <w:tr>
        <w:trPr>
          <w:trHeight w:val="69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5" w:type="dxa"/>
            <w:vAlign w:val="center"/>
            <w:textDirection w:val="lrTb"/>
            <w:noWrap w:val="false"/>
          </w:tcPr>
          <w:p>
            <w:pPr>
              <w:ind w:left="0" w:right="0" w:firstLine="422"/>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29"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5"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692"/>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9" w:type="dxa"/>
            <w:vAlign w:val="center"/>
            <w:textDirection w:val="lrTb"/>
            <w:noWrap w:val="false"/>
          </w:tcPr>
          <w:p>
            <w:pPr>
              <w:ind w:left="0" w:right="0" w:firstLine="422"/>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投标总报价（人民币大写）：</w:t>
            </w:r>
            <w:r>
              <w:rPr>
                <w:rFonts w:ascii="Segoe UI" w:hAnsi="Segoe UI" w:eastAsia="Segoe UI" w:cs="Segoe UI"/>
                <w:color w:val="000000"/>
                <w:sz w:val="24"/>
                <w:highlight w:val="white"/>
              </w:rPr>
              <w:t xml:space="preserve">__________________ </w:t>
            </w:r>
            <w:r>
              <w:rPr>
                <w:rFonts w:ascii="Times New Roman" w:hAnsi="Times New Roman" w:eastAsia="Times New Roman" w:cs="Times New Roman"/>
                <w:color w:val="000000"/>
                <w:sz w:val="21"/>
              </w:rPr>
              <w:t xml:space="preserve">元（￥</w:t>
            </w:r>
            <w:r>
              <w:rPr>
                <w:rFonts w:ascii="Segoe UI" w:hAnsi="Segoe UI" w:eastAsia="Segoe UI" w:cs="Segoe UI"/>
                <w:color w:val="000000"/>
                <w:sz w:val="24"/>
                <w:highlight w:val="white"/>
              </w:rPr>
              <w:t xml:space="preserve">__________</w:t>
            </w:r>
            <w:r>
              <w:rPr>
                <w:rFonts w:ascii="Times New Roman" w:hAnsi="Times New Roman" w:eastAsia="Times New Roman" w:cs="Times New Roman"/>
                <w:color w:val="000000"/>
                <w:sz w:val="21"/>
              </w:rPr>
              <w:t xml:space="preserve">）</w:t>
            </w:r>
            <w:r/>
          </w:p>
        </w:tc>
      </w:tr>
    </w:tbl>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投标人：（签章）</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         年         月       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附件4、投标报价分析表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投标报价分析表</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招标编号：号                               </w:t>
      </w:r>
      <w:r/>
    </w:p>
    <w:tbl>
      <w:tblPr>
        <w:tblStyle w:val="70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64"/>
        <w:gridCol w:w="960"/>
        <w:gridCol w:w="963"/>
        <w:gridCol w:w="890"/>
        <w:gridCol w:w="672"/>
        <w:gridCol w:w="728"/>
        <w:gridCol w:w="756"/>
        <w:gridCol w:w="850"/>
        <w:gridCol w:w="891"/>
      </w:tblGrid>
      <w:tr>
        <w:trPr>
          <w:trHeight w:val="2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标的物名称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品牌、规格、型号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9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生产厂家</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7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5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9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3"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0"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6"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3"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0"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6"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3"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0"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6"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3"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0"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6"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3"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0"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6"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3"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0"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6"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3"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0"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6"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3"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0"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6"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3"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0"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6"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3"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0"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6"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3"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0"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6"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3"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0"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6"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3"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0"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6"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3"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0"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6"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3"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0"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6"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3"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0"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6"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3"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0"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6"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4"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投标总报价：</w:t>
            </w:r>
            <w:r/>
          </w:p>
        </w:tc>
        <w:tc>
          <w:tcPr>
            <w:gridSpan w:val="7"/>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50"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大写：元</w:t>
            </w:r>
            <w:r/>
          </w:p>
        </w:tc>
      </w:tr>
    </w:tbl>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投标单位（签章）：</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日期：年月日</w:t>
      </w:r>
      <w:r/>
    </w:p>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40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备注：1、请投标单位按照上述格式分析投标总报价，本项投标总报价需与开标一览表投标总报价一致。</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2、投标总报价应包括产品供货、辅助材料、备品备件、运输、仓储、发货、送货、安装、调试、人工、机械、装卸、培训、保险、运费、各种税费、劳保、专利技术及质保等完成本次项目所需的一切费用。</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附件5、技术响应对照表</w:t>
      </w:r>
      <w:r/>
    </w:p>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技术响应对照表</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招标编号：            号                 </w:t>
      </w:r>
      <w:r/>
    </w:p>
    <w:tbl>
      <w:tblPr>
        <w:tblStyle w:val="70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8"/>
        <w:gridCol w:w="1804"/>
        <w:gridCol w:w="1643"/>
        <w:gridCol w:w="1482"/>
        <w:gridCol w:w="1714"/>
        <w:gridCol w:w="1772"/>
      </w:tblGrid>
      <w:tr>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938"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1804"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货物名称</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1643" w:type="dxa"/>
            <w:vAlign w:val="center"/>
            <w:textDirection w:val="lrTb"/>
            <w:noWrap w:val="false"/>
          </w:tcPr>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招标要求</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14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投标产品指标</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171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正偏离、负偏离或无偏离</w:t>
            </w:r>
            <w:r/>
          </w:p>
        </w:tc>
        <w:tc>
          <w:tcPr>
            <w:tcBorders>
              <w:top w:val="single" w:color="000000" w:sz="12" w:space="0"/>
              <w:left w:val="none" w:color="000000" w:sz="4" w:space="0"/>
              <w:bottom w:val="single" w:color="000000" w:sz="8" w:space="0"/>
              <w:right w:val="single" w:color="000000" w:sz="12" w:space="0"/>
            </w:tcBorders>
            <w:tcMar>
              <w:left w:w="108" w:type="dxa"/>
              <w:top w:w="0" w:type="dxa"/>
              <w:right w:w="108" w:type="dxa"/>
              <w:bottom w:w="0" w:type="dxa"/>
            </w:tcMar>
            <w:tcW w:w="177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偏离说明（如有）</w:t>
            </w:r>
            <w:r/>
          </w:p>
        </w:tc>
      </w:tr>
      <w:tr>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938"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4"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3"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2"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4"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772"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938"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4"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3"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2"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4"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772"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938"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4"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3"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2"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4"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772"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938"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4"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3"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2"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4"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772"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938"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4"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3"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2"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4"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772"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938"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4"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3"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2"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4"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772"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938"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4"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3"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2"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4"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772"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938"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4"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3"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2"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4"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772"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938"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4"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3"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2"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4"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772"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12" w:space="0"/>
              <w:bottom w:val="single" w:color="000000" w:sz="12" w:space="0"/>
              <w:right w:val="single" w:color="000000" w:sz="8" w:space="0"/>
            </w:tcBorders>
            <w:tcMar>
              <w:left w:w="108" w:type="dxa"/>
              <w:top w:w="0" w:type="dxa"/>
              <w:right w:w="108" w:type="dxa"/>
              <w:bottom w:w="0" w:type="dxa"/>
            </w:tcMar>
            <w:tcW w:w="938"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12" w:space="0"/>
              <w:right w:val="single" w:color="000000" w:sz="8" w:space="0"/>
            </w:tcBorders>
            <w:tcMar>
              <w:left w:w="108" w:type="dxa"/>
              <w:top w:w="0" w:type="dxa"/>
              <w:right w:w="108" w:type="dxa"/>
              <w:bottom w:w="0" w:type="dxa"/>
            </w:tcMar>
            <w:tcW w:w="1804"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12" w:space="0"/>
              <w:right w:val="single" w:color="000000" w:sz="8" w:space="0"/>
            </w:tcBorders>
            <w:tcMar>
              <w:left w:w="108" w:type="dxa"/>
              <w:top w:w="0" w:type="dxa"/>
              <w:right w:w="108" w:type="dxa"/>
              <w:bottom w:w="0" w:type="dxa"/>
            </w:tcMar>
            <w:tcW w:w="1643"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12" w:space="0"/>
              <w:right w:val="single" w:color="000000" w:sz="8" w:space="0"/>
            </w:tcBorders>
            <w:tcMar>
              <w:left w:w="108" w:type="dxa"/>
              <w:top w:w="0" w:type="dxa"/>
              <w:right w:w="108" w:type="dxa"/>
              <w:bottom w:w="0" w:type="dxa"/>
            </w:tcMar>
            <w:tcW w:w="1482"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12" w:space="0"/>
              <w:right w:val="single" w:color="000000" w:sz="8" w:space="0"/>
            </w:tcBorders>
            <w:tcMar>
              <w:left w:w="108" w:type="dxa"/>
              <w:top w:w="0" w:type="dxa"/>
              <w:right w:w="108" w:type="dxa"/>
              <w:bottom w:w="0" w:type="dxa"/>
            </w:tcMar>
            <w:tcW w:w="1714"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12" w:space="0"/>
              <w:right w:val="single" w:color="000000" w:sz="12" w:space="0"/>
            </w:tcBorders>
            <w:tcMar>
              <w:left w:w="108" w:type="dxa"/>
              <w:top w:w="0" w:type="dxa"/>
              <w:right w:w="108" w:type="dxa"/>
              <w:bottom w:w="0" w:type="dxa"/>
            </w:tcMar>
            <w:tcW w:w="1772"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注：1.投标人应对照招标文件技术要求等要求，所投标的物与招标文件的规定有偏离的，应在此表中申明与技术要求条文的偏差和例外。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2.未在上表中说明的，如在投标文件其他内容中已有文字说明的，则以已有文字说明为准，否则，将被认为完全响应招标文件的规定。但该表不作为投标人对所投标的物关于技术要求等详细描述和说明的替代。</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投标人：（签章）</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         年         月       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附件6、质保期满后三年内备品备件、易损件报价表（不含在投标报价中）</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质保期满后三年内备品备件、易损件报价表</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1"/>
        </w:rPr>
        <w:t xml:space="preserve">招标编号：        号                    </w:t>
      </w:r>
      <w:r/>
    </w:p>
    <w:tbl>
      <w:tblPr>
        <w:tblStyle w:val="70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18"/>
        <w:gridCol w:w="1872"/>
        <w:gridCol w:w="1872"/>
        <w:gridCol w:w="1872"/>
        <w:gridCol w:w="1872"/>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设备（配件）名称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2" w:type="dxa"/>
            <w:vAlign w:val="center"/>
            <w:textDirection w:val="lrTb"/>
            <w:noWrap w:val="false"/>
          </w:tcPr>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型号规格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2" w:type="dxa"/>
            <w:vAlign w:val="center"/>
            <w:textDirection w:val="lrTb"/>
            <w:noWrap w:val="false"/>
          </w:tcPr>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2" w:type="dxa"/>
            <w:vAlign w:val="center"/>
            <w:textDirection w:val="lrTb"/>
            <w:noWrap w:val="false"/>
          </w:tcPr>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2"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2"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2"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2"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2"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2"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2"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2"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2"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2"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2"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2"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2"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2"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2"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2"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2"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2"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2"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2"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2"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2"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2"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2"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bl>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1、此报价作为最高限价，实际价格在中标后以双方协商为准。</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投标方：（签章）</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         年         月       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附件7、投标货物和服务数量、品牌型号、性能、技术规格、设备质量要求、交货期</w:t>
      </w:r>
      <w:r/>
    </w:p>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投标货物和服务数量、品牌型号、性能、交货期说明表</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1"/>
        </w:rPr>
        <w:t xml:space="preserve">招标编号：        号              </w:t>
      </w:r>
      <w:r/>
    </w:p>
    <w:tbl>
      <w:tblPr>
        <w:tblStyle w:val="70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03"/>
        <w:gridCol w:w="1344"/>
        <w:gridCol w:w="1026"/>
        <w:gridCol w:w="1185"/>
        <w:gridCol w:w="955"/>
        <w:gridCol w:w="951"/>
        <w:gridCol w:w="85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3" w:type="dxa"/>
            <w:vAlign w:val="center"/>
            <w:textDirection w:val="lrTb"/>
            <w:noWrap w:val="false"/>
          </w:tcPr>
          <w:p>
            <w:pPr>
              <w:ind w:left="0" w:right="0" w:firstLine="0"/>
              <w:jc w:val="both"/>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44" w:type="dxa"/>
            <w:vAlign w:val="center"/>
            <w:textDirection w:val="lrTb"/>
            <w:noWrap w:val="false"/>
          </w:tcPr>
          <w:p>
            <w:pPr>
              <w:ind w:left="0" w:right="0" w:firstLine="422"/>
              <w:jc w:val="center"/>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标的物名称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26" w:type="dxa"/>
            <w:vAlign w:val="center"/>
            <w:textDirection w:val="lrTb"/>
            <w:noWrap w:val="false"/>
          </w:tcPr>
          <w:p>
            <w:pPr>
              <w:ind w:left="0" w:right="0" w:firstLine="0"/>
              <w:jc w:val="both"/>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品牌型号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85" w:type="dxa"/>
            <w:vAlign w:val="center"/>
            <w:textDirection w:val="lrTb"/>
            <w:noWrap w:val="false"/>
          </w:tcPr>
          <w:p>
            <w:pPr>
              <w:ind w:left="0" w:right="0" w:firstLine="422"/>
              <w:jc w:val="center"/>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性能</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55" w:type="dxa"/>
            <w:vAlign w:val="center"/>
            <w:textDirection w:val="lrTb"/>
            <w:noWrap w:val="false"/>
          </w:tcPr>
          <w:p>
            <w:pPr>
              <w:ind w:left="0" w:right="0" w:firstLine="422"/>
              <w:jc w:val="center"/>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422"/>
              <w:jc w:val="center"/>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both"/>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交付期</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3" w:type="dxa"/>
            <w:vAlign w:val="center"/>
            <w:textDirection w:val="lrTb"/>
            <w:noWrap w:val="false"/>
          </w:tcPr>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4"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5"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5"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3" w:type="dxa"/>
            <w:vAlign w:val="center"/>
            <w:textDirection w:val="lrTb"/>
            <w:noWrap w:val="false"/>
          </w:tcPr>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4"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5"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5"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3" w:type="dxa"/>
            <w:vAlign w:val="center"/>
            <w:textDirection w:val="lrTb"/>
            <w:noWrap w:val="false"/>
          </w:tcPr>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4"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5"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5"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4"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5"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5"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投标方：（签章）</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         年         月       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附件8：商务条款偏离表</w:t>
      </w:r>
      <w:r/>
    </w:p>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商务条款偏离表</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招标编号：            号                   </w:t>
      </w:r>
      <w:r/>
    </w:p>
    <w:tbl>
      <w:tblPr>
        <w:tblStyle w:val="70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48"/>
        <w:gridCol w:w="1952"/>
        <w:gridCol w:w="2392"/>
        <w:gridCol w:w="2392"/>
        <w:gridCol w:w="1771"/>
      </w:tblGrid>
      <w:tr>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84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195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招标文件条目号</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239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招标文件的商务条款</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239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投标文件的商务条款</w:t>
            </w:r>
            <w:r/>
          </w:p>
        </w:tc>
        <w:tc>
          <w:tcPr>
            <w:tcBorders>
              <w:top w:val="single" w:color="000000" w:sz="12" w:space="0"/>
              <w:left w:val="none" w:color="000000" w:sz="4" w:space="0"/>
              <w:bottom w:val="single" w:color="000000" w:sz="8" w:space="0"/>
              <w:right w:val="single" w:color="000000" w:sz="12" w:space="0"/>
            </w:tcBorders>
            <w:tcMar>
              <w:left w:w="108" w:type="dxa"/>
              <w:top w:w="0" w:type="dxa"/>
              <w:right w:w="108" w:type="dxa"/>
              <w:bottom w:w="0" w:type="dxa"/>
            </w:tcMar>
            <w:tcW w:w="1771" w:type="dxa"/>
            <w:vAlign w:val="center"/>
            <w:textDirection w:val="lrTb"/>
            <w:noWrap w:val="false"/>
          </w:tcPr>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tc>
      </w:tr>
      <w:tr>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84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交货期限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92"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92"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771"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84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付款步骤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92"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92"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771"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84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合同条款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92"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92"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771"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84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92"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92"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771"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84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2"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92"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92"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771"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848"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2"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92"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92"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771"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848"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2"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92"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92"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771"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848"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2"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92"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92"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771"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848"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2"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92"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92"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771"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12" w:space="0"/>
              <w:bottom w:val="single" w:color="000000" w:sz="12" w:space="0"/>
              <w:right w:val="single" w:color="000000" w:sz="8" w:space="0"/>
            </w:tcBorders>
            <w:tcMar>
              <w:left w:w="108" w:type="dxa"/>
              <w:top w:w="0" w:type="dxa"/>
              <w:right w:w="108" w:type="dxa"/>
              <w:bottom w:w="0" w:type="dxa"/>
            </w:tcMar>
            <w:tcW w:w="848"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12" w:space="0"/>
              <w:right w:val="single" w:color="000000" w:sz="8" w:space="0"/>
            </w:tcBorders>
            <w:tcMar>
              <w:left w:w="108" w:type="dxa"/>
              <w:top w:w="0" w:type="dxa"/>
              <w:right w:w="108" w:type="dxa"/>
              <w:bottom w:w="0" w:type="dxa"/>
            </w:tcMar>
            <w:tcW w:w="1952"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12" w:space="0"/>
              <w:right w:val="single" w:color="000000" w:sz="8" w:space="0"/>
            </w:tcBorders>
            <w:tcMar>
              <w:left w:w="108" w:type="dxa"/>
              <w:top w:w="0" w:type="dxa"/>
              <w:right w:w="108" w:type="dxa"/>
              <w:bottom w:w="0" w:type="dxa"/>
            </w:tcMar>
            <w:tcW w:w="2392"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12" w:space="0"/>
              <w:right w:val="single" w:color="000000" w:sz="8" w:space="0"/>
            </w:tcBorders>
            <w:tcMar>
              <w:left w:w="108" w:type="dxa"/>
              <w:top w:w="0" w:type="dxa"/>
              <w:right w:w="108" w:type="dxa"/>
              <w:bottom w:w="0" w:type="dxa"/>
            </w:tcMar>
            <w:tcW w:w="2392"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12" w:space="0"/>
              <w:right w:val="single" w:color="000000" w:sz="12" w:space="0"/>
            </w:tcBorders>
            <w:tcMar>
              <w:left w:w="108" w:type="dxa"/>
              <w:top w:w="0" w:type="dxa"/>
              <w:right w:w="108" w:type="dxa"/>
              <w:bottom w:w="0" w:type="dxa"/>
            </w:tcMar>
            <w:tcW w:w="1771"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投标人的投标文件（除服务要求部分）与招标文件规定的有偏离的，应在此表中说明。未在上表中说明的，如在投标文件其他内容中已有文字说明的，则以已有文字说明为准，否则，将被认为完全响应招标文件的规定。但该表不作为投标人对所投标服务关于商务条款等详细描述和说明的替代。</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投标人：（签章）</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         年         月       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附件9、针对本项目的人员配置表</w:t>
      </w:r>
      <w:r/>
    </w:p>
    <w:p>
      <w:pPr>
        <w:ind w:left="0" w:right="0" w:firstLine="50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1"/>
        </w:rPr>
        <w:t xml:space="preserve"> </w:t>
      </w:r>
      <w:r/>
    </w:p>
    <w:p>
      <w:pPr>
        <w:ind w:left="0" w:right="0" w:firstLine="50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1"/>
        </w:rPr>
        <w:t xml:space="preserve">针对本项目的人员配置表</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        号                       </w:t>
      </w:r>
      <w:r/>
    </w:p>
    <w:tbl>
      <w:tblPr>
        <w:tblStyle w:val="70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85"/>
        <w:gridCol w:w="1261"/>
        <w:gridCol w:w="1315"/>
        <w:gridCol w:w="1125"/>
        <w:gridCol w:w="948"/>
        <w:gridCol w:w="940"/>
        <w:gridCol w:w="1430"/>
        <w:gridCol w:w="1051"/>
      </w:tblGrid>
      <w:tr>
        <w:trPr/>
        <w:tc>
          <w:tcPr>
            <w:tcBorders>
              <w:top w:val="single" w:color="000000" w:sz="8" w:space="0"/>
              <w:left w:val="single" w:color="000000" w:sz="8" w:space="0"/>
              <w:bottom w:val="none" w:color="000000" w:sz="4" w:space="0"/>
              <w:right w:val="none" w:color="000000" w:sz="4" w:space="0"/>
            </w:tcBorders>
            <w:tcMar>
              <w:left w:w="108" w:type="dxa"/>
              <w:top w:w="0" w:type="dxa"/>
              <w:right w:w="108" w:type="dxa"/>
              <w:bottom w:w="0" w:type="dxa"/>
            </w:tcMar>
            <w:tcW w:w="1285" w:type="dxa"/>
            <w:vAlign w:val="center"/>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none" w:color="000000" w:sz="4" w:space="0"/>
              <w:right w:val="none" w:color="000000" w:sz="4" w:space="0"/>
            </w:tcBorders>
            <w:tcMar>
              <w:left w:w="108" w:type="dxa"/>
              <w:top w:w="0" w:type="dxa"/>
              <w:right w:w="108" w:type="dxa"/>
              <w:bottom w:w="0" w:type="dxa"/>
            </w:tcMar>
            <w:tcW w:w="1261" w:type="dxa"/>
            <w:vAlign w:val="center"/>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姓名</w:t>
            </w:r>
            <w:r/>
          </w:p>
        </w:tc>
        <w:tc>
          <w:tcPr>
            <w:tcBorders>
              <w:top w:val="single" w:color="000000" w:sz="8" w:space="0"/>
              <w:left w:val="none" w:color="000000" w:sz="4" w:space="0"/>
              <w:bottom w:val="none" w:color="000000" w:sz="4" w:space="0"/>
              <w:right w:val="none" w:color="000000" w:sz="4" w:space="0"/>
            </w:tcBorders>
            <w:tcMar>
              <w:left w:w="108" w:type="dxa"/>
              <w:top w:w="0" w:type="dxa"/>
              <w:right w:w="108" w:type="dxa"/>
              <w:bottom w:w="0" w:type="dxa"/>
            </w:tcMar>
            <w:tcW w:w="1315" w:type="dxa"/>
            <w:vAlign w:val="center"/>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性别</w:t>
            </w:r>
            <w:r/>
          </w:p>
        </w:tc>
        <w:tc>
          <w:tcPr>
            <w:tcBorders>
              <w:top w:val="single" w:color="000000" w:sz="8" w:space="0"/>
              <w:left w:val="none" w:color="000000" w:sz="4" w:space="0"/>
              <w:bottom w:val="none" w:color="000000" w:sz="4" w:space="0"/>
              <w:right w:val="none" w:color="000000" w:sz="4" w:space="0"/>
            </w:tcBorders>
            <w:tcMar>
              <w:left w:w="108" w:type="dxa"/>
              <w:top w:w="0" w:type="dxa"/>
              <w:right w:w="108" w:type="dxa"/>
              <w:bottom w:w="0" w:type="dxa"/>
            </w:tcMar>
            <w:tcW w:w="1125" w:type="dxa"/>
            <w:vAlign w:val="center"/>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学历</w:t>
            </w:r>
            <w:r/>
          </w:p>
        </w:tc>
        <w:tc>
          <w:tcPr>
            <w:tcBorders>
              <w:top w:val="single" w:color="000000" w:sz="8" w:space="0"/>
              <w:left w:val="none" w:color="000000" w:sz="4" w:space="0"/>
              <w:bottom w:val="none" w:color="000000" w:sz="4" w:space="0"/>
              <w:right w:val="none" w:color="000000" w:sz="4" w:space="0"/>
            </w:tcBorders>
            <w:tcMar>
              <w:left w:w="108" w:type="dxa"/>
              <w:top w:w="0" w:type="dxa"/>
              <w:right w:w="108" w:type="dxa"/>
              <w:bottom w:w="0" w:type="dxa"/>
            </w:tcMar>
            <w:tcW w:w="948" w:type="dxa"/>
            <w:vAlign w:val="center"/>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专业</w:t>
            </w:r>
            <w:r/>
          </w:p>
        </w:tc>
        <w:tc>
          <w:tcPr>
            <w:tcBorders>
              <w:top w:val="single" w:color="000000" w:sz="8" w:space="0"/>
              <w:left w:val="none" w:color="000000" w:sz="4" w:space="0"/>
              <w:bottom w:val="none" w:color="000000" w:sz="4" w:space="0"/>
              <w:right w:val="none" w:color="000000" w:sz="4" w:space="0"/>
            </w:tcBorders>
            <w:tcMar>
              <w:left w:w="108" w:type="dxa"/>
              <w:top w:w="0" w:type="dxa"/>
              <w:right w:w="108" w:type="dxa"/>
              <w:bottom w:w="0" w:type="dxa"/>
            </w:tcMar>
            <w:tcW w:w="940" w:type="dxa"/>
            <w:vAlign w:val="center"/>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职称</w:t>
            </w:r>
            <w:r/>
          </w:p>
        </w:tc>
        <w:tc>
          <w:tcPr>
            <w:tcBorders>
              <w:top w:val="single" w:color="000000" w:sz="8" w:space="0"/>
              <w:left w:val="none" w:color="000000" w:sz="4" w:space="0"/>
              <w:bottom w:val="none" w:color="000000" w:sz="4" w:space="0"/>
              <w:right w:val="none" w:color="000000" w:sz="4" w:space="0"/>
            </w:tcBorders>
            <w:tcMar>
              <w:left w:w="108" w:type="dxa"/>
              <w:top w:w="0" w:type="dxa"/>
              <w:right w:w="108" w:type="dxa"/>
              <w:bottom w:w="0" w:type="dxa"/>
            </w:tcMar>
            <w:tcW w:w="1430" w:type="dxa"/>
            <w:vAlign w:val="center"/>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责任或分工</w:t>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051" w:type="dxa"/>
            <w:vAlign w:val="center"/>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c>
          <w:tcPr>
            <w:tcBorders>
              <w:top w:val="none" w:color="000000" w:sz="4" w:space="0"/>
              <w:left w:val="single" w:color="000000" w:sz="8" w:space="0"/>
              <w:bottom w:val="none" w:color="000000" w:sz="4" w:space="0"/>
              <w:right w:val="none" w:color="000000" w:sz="4" w:space="0"/>
            </w:tcBorders>
            <w:tcMar>
              <w:left w:w="108" w:type="dxa"/>
              <w:top w:w="0" w:type="dxa"/>
              <w:right w:w="108" w:type="dxa"/>
              <w:bottom w:w="0" w:type="dxa"/>
            </w:tcMar>
            <w:tcW w:w="1285" w:type="dxa"/>
            <w:vAlign w:val="center"/>
            <w:textDirection w:val="lrTb"/>
            <w:noWrap w:val="false"/>
          </w:tcPr>
          <w:p>
            <w:pPr>
              <w:ind w:left="0" w:right="0" w:firstLine="422"/>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261" w:type="dxa"/>
            <w:vAlign w:val="center"/>
            <w:textDirection w:val="lrTb"/>
            <w:noWrap w:val="false"/>
          </w:tcPr>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315" w:type="dxa"/>
            <w:vAlign w:val="center"/>
            <w:textDirection w:val="lrTb"/>
            <w:noWrap w:val="false"/>
          </w:tcPr>
          <w:p>
            <w:pPr>
              <w:ind w:left="0" w:right="0" w:firstLine="422"/>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125" w:type="dxa"/>
            <w:vAlign w:val="center"/>
            <w:textDirection w:val="lrTb"/>
            <w:noWrap w:val="false"/>
          </w:tcPr>
          <w:p>
            <w:pPr>
              <w:ind w:left="0" w:right="0" w:firstLine="422"/>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48" w:type="dxa"/>
            <w:vAlign w:val="center"/>
            <w:textDirection w:val="lrTb"/>
            <w:noWrap w:val="false"/>
          </w:tcPr>
          <w:p>
            <w:pPr>
              <w:ind w:left="0" w:right="0" w:firstLine="422"/>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40" w:type="dxa"/>
            <w:vAlign w:val="center"/>
            <w:textDirection w:val="lrTb"/>
            <w:noWrap w:val="false"/>
          </w:tcPr>
          <w:p>
            <w:pPr>
              <w:ind w:left="0" w:right="0" w:firstLine="422"/>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430" w:type="dxa"/>
            <w:vAlign w:val="center"/>
            <w:textDirection w:val="lrTb"/>
            <w:noWrap w:val="false"/>
          </w:tcPr>
          <w:p>
            <w:pPr>
              <w:ind w:left="0" w:right="0" w:firstLine="422"/>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051" w:type="dxa"/>
            <w:vAlign w:val="center"/>
            <w:textDirection w:val="lrTb"/>
            <w:noWrap w:val="false"/>
          </w:tcPr>
          <w:p>
            <w:pPr>
              <w:ind w:left="0" w:right="0" w:firstLine="422"/>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none" w:color="000000" w:sz="4" w:space="0"/>
              <w:right w:val="none" w:color="000000" w:sz="4" w:space="0"/>
            </w:tcBorders>
            <w:tcMar>
              <w:left w:w="108" w:type="dxa"/>
              <w:top w:w="0" w:type="dxa"/>
              <w:right w:w="108" w:type="dxa"/>
              <w:bottom w:w="0" w:type="dxa"/>
            </w:tcMar>
            <w:tcW w:w="1285" w:type="dxa"/>
            <w:vAlign w:val="center"/>
            <w:textDirection w:val="lrTb"/>
            <w:noWrap w:val="false"/>
          </w:tcPr>
          <w:p>
            <w:pPr>
              <w:ind w:left="0" w:right="0" w:firstLine="422"/>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261" w:type="dxa"/>
            <w:vAlign w:val="center"/>
            <w:textDirection w:val="lrTb"/>
            <w:noWrap w:val="false"/>
          </w:tcPr>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315" w:type="dxa"/>
            <w:vAlign w:val="center"/>
            <w:textDirection w:val="lrTb"/>
            <w:noWrap w:val="false"/>
          </w:tcPr>
          <w:p>
            <w:pPr>
              <w:ind w:left="0" w:right="0" w:firstLine="422"/>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125" w:type="dxa"/>
            <w:vAlign w:val="center"/>
            <w:textDirection w:val="lrTb"/>
            <w:noWrap w:val="false"/>
          </w:tcPr>
          <w:p>
            <w:pPr>
              <w:ind w:left="0" w:right="0" w:firstLine="422"/>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48" w:type="dxa"/>
            <w:vAlign w:val="center"/>
            <w:textDirection w:val="lrTb"/>
            <w:noWrap w:val="false"/>
          </w:tcPr>
          <w:p>
            <w:pPr>
              <w:ind w:left="0" w:right="0" w:firstLine="422"/>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40" w:type="dxa"/>
            <w:vAlign w:val="center"/>
            <w:textDirection w:val="lrTb"/>
            <w:noWrap w:val="false"/>
          </w:tcPr>
          <w:p>
            <w:pPr>
              <w:ind w:left="0" w:right="0" w:firstLine="422"/>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430" w:type="dxa"/>
            <w:vAlign w:val="center"/>
            <w:textDirection w:val="lrTb"/>
            <w:noWrap w:val="false"/>
          </w:tcPr>
          <w:p>
            <w:pPr>
              <w:ind w:left="0" w:right="0" w:firstLine="422"/>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051" w:type="dxa"/>
            <w:vAlign w:val="center"/>
            <w:textDirection w:val="lrTb"/>
            <w:noWrap w:val="false"/>
          </w:tcPr>
          <w:p>
            <w:pPr>
              <w:ind w:left="0" w:right="0" w:firstLine="422"/>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none" w:color="000000" w:sz="4" w:space="0"/>
              <w:right w:val="none" w:color="000000" w:sz="4" w:space="0"/>
            </w:tcBorders>
            <w:tcMar>
              <w:left w:w="108" w:type="dxa"/>
              <w:top w:w="0" w:type="dxa"/>
              <w:right w:w="108" w:type="dxa"/>
              <w:bottom w:w="0" w:type="dxa"/>
            </w:tcMar>
            <w:tcW w:w="1285" w:type="dxa"/>
            <w:vAlign w:val="center"/>
            <w:textDirection w:val="lrTb"/>
            <w:noWrap w:val="false"/>
          </w:tcPr>
          <w:p>
            <w:pPr>
              <w:ind w:left="0" w:right="0" w:firstLine="422"/>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261" w:type="dxa"/>
            <w:vAlign w:val="center"/>
            <w:textDirection w:val="lrTb"/>
            <w:noWrap w:val="false"/>
          </w:tcPr>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315" w:type="dxa"/>
            <w:vAlign w:val="center"/>
            <w:textDirection w:val="lrTb"/>
            <w:noWrap w:val="false"/>
          </w:tcPr>
          <w:p>
            <w:pPr>
              <w:ind w:left="0" w:right="0" w:firstLine="422"/>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125" w:type="dxa"/>
            <w:vAlign w:val="center"/>
            <w:textDirection w:val="lrTb"/>
            <w:noWrap w:val="false"/>
          </w:tcPr>
          <w:p>
            <w:pPr>
              <w:ind w:left="0" w:right="0" w:firstLine="422"/>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48" w:type="dxa"/>
            <w:vAlign w:val="center"/>
            <w:textDirection w:val="lrTb"/>
            <w:noWrap w:val="false"/>
          </w:tcPr>
          <w:p>
            <w:pPr>
              <w:ind w:left="0" w:right="0" w:firstLine="422"/>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40" w:type="dxa"/>
            <w:vAlign w:val="center"/>
            <w:textDirection w:val="lrTb"/>
            <w:noWrap w:val="false"/>
          </w:tcPr>
          <w:p>
            <w:pPr>
              <w:ind w:left="0" w:right="0" w:firstLine="422"/>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430" w:type="dxa"/>
            <w:vAlign w:val="center"/>
            <w:textDirection w:val="lrTb"/>
            <w:noWrap w:val="false"/>
          </w:tcPr>
          <w:p>
            <w:pPr>
              <w:ind w:left="0" w:right="0" w:firstLine="422"/>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051" w:type="dxa"/>
            <w:vAlign w:val="center"/>
            <w:textDirection w:val="lrTb"/>
            <w:noWrap w:val="false"/>
          </w:tcPr>
          <w:p>
            <w:pPr>
              <w:ind w:left="0" w:right="0" w:firstLine="422"/>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none" w:color="000000" w:sz="4" w:space="0"/>
              <w:right w:val="none" w:color="000000" w:sz="4" w:space="0"/>
            </w:tcBorders>
            <w:tcMar>
              <w:left w:w="108" w:type="dxa"/>
              <w:top w:w="0" w:type="dxa"/>
              <w:right w:w="108" w:type="dxa"/>
              <w:bottom w:w="0" w:type="dxa"/>
            </w:tcMar>
            <w:tcW w:w="1285" w:type="dxa"/>
            <w:vAlign w:val="center"/>
            <w:textDirection w:val="lrTb"/>
            <w:noWrap w:val="false"/>
          </w:tcPr>
          <w:p>
            <w:pPr>
              <w:ind w:left="0" w:right="0" w:firstLine="422"/>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261" w:type="dxa"/>
            <w:vAlign w:val="center"/>
            <w:textDirection w:val="lrTb"/>
            <w:noWrap w:val="false"/>
          </w:tcPr>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315" w:type="dxa"/>
            <w:vAlign w:val="center"/>
            <w:textDirection w:val="lrTb"/>
            <w:noWrap w:val="false"/>
          </w:tcPr>
          <w:p>
            <w:pPr>
              <w:ind w:left="0" w:right="0" w:firstLine="422"/>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125" w:type="dxa"/>
            <w:vAlign w:val="center"/>
            <w:textDirection w:val="lrTb"/>
            <w:noWrap w:val="false"/>
          </w:tcPr>
          <w:p>
            <w:pPr>
              <w:ind w:left="0" w:right="0" w:firstLine="422"/>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48" w:type="dxa"/>
            <w:vAlign w:val="center"/>
            <w:textDirection w:val="lrTb"/>
            <w:noWrap w:val="false"/>
          </w:tcPr>
          <w:p>
            <w:pPr>
              <w:ind w:left="0" w:right="0" w:firstLine="422"/>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40" w:type="dxa"/>
            <w:vAlign w:val="center"/>
            <w:textDirection w:val="lrTb"/>
            <w:noWrap w:val="false"/>
          </w:tcPr>
          <w:p>
            <w:pPr>
              <w:ind w:left="0" w:right="0" w:firstLine="422"/>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430" w:type="dxa"/>
            <w:vAlign w:val="center"/>
            <w:textDirection w:val="lrTb"/>
            <w:noWrap w:val="false"/>
          </w:tcPr>
          <w:p>
            <w:pPr>
              <w:ind w:left="0" w:right="0" w:firstLine="422"/>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051" w:type="dxa"/>
            <w:vAlign w:val="center"/>
            <w:textDirection w:val="lrTb"/>
            <w:noWrap w:val="false"/>
          </w:tcPr>
          <w:p>
            <w:pPr>
              <w:ind w:left="0" w:right="0" w:firstLine="422"/>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none" w:color="000000" w:sz="4" w:space="0"/>
              <w:right w:val="none" w:color="000000" w:sz="4" w:space="0"/>
            </w:tcBorders>
            <w:tcMar>
              <w:left w:w="108" w:type="dxa"/>
              <w:top w:w="0" w:type="dxa"/>
              <w:right w:w="108" w:type="dxa"/>
              <w:bottom w:w="0" w:type="dxa"/>
            </w:tcMar>
            <w:tcW w:w="1285" w:type="dxa"/>
            <w:vAlign w:val="center"/>
            <w:textDirection w:val="lrTb"/>
            <w:noWrap w:val="false"/>
          </w:tcPr>
          <w:p>
            <w:pPr>
              <w:ind w:left="0" w:right="0" w:firstLine="422"/>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261" w:type="dxa"/>
            <w:vAlign w:val="center"/>
            <w:textDirection w:val="lrTb"/>
            <w:noWrap w:val="false"/>
          </w:tcPr>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315" w:type="dxa"/>
            <w:vAlign w:val="center"/>
            <w:textDirection w:val="lrTb"/>
            <w:noWrap w:val="false"/>
          </w:tcPr>
          <w:p>
            <w:pPr>
              <w:ind w:left="0" w:right="0" w:firstLine="422"/>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125" w:type="dxa"/>
            <w:vAlign w:val="center"/>
            <w:textDirection w:val="lrTb"/>
            <w:noWrap w:val="false"/>
          </w:tcPr>
          <w:p>
            <w:pPr>
              <w:ind w:left="0" w:right="0" w:firstLine="422"/>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48" w:type="dxa"/>
            <w:vAlign w:val="center"/>
            <w:textDirection w:val="lrTb"/>
            <w:noWrap w:val="false"/>
          </w:tcPr>
          <w:p>
            <w:pPr>
              <w:ind w:left="0" w:right="0" w:firstLine="422"/>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40" w:type="dxa"/>
            <w:vAlign w:val="center"/>
            <w:textDirection w:val="lrTb"/>
            <w:noWrap w:val="false"/>
          </w:tcPr>
          <w:p>
            <w:pPr>
              <w:ind w:left="0" w:right="0" w:firstLine="422"/>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430" w:type="dxa"/>
            <w:vAlign w:val="center"/>
            <w:textDirection w:val="lrTb"/>
            <w:noWrap w:val="false"/>
          </w:tcPr>
          <w:p>
            <w:pPr>
              <w:ind w:left="0" w:right="0" w:firstLine="422"/>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051" w:type="dxa"/>
            <w:vAlign w:val="center"/>
            <w:textDirection w:val="lrTb"/>
            <w:noWrap w:val="false"/>
          </w:tcPr>
          <w:p>
            <w:pPr>
              <w:ind w:left="0" w:right="0" w:firstLine="422"/>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1285" w:type="dxa"/>
            <w:vAlign w:val="center"/>
            <w:textDirection w:val="lrTb"/>
            <w:noWrap w:val="false"/>
          </w:tcPr>
          <w:p>
            <w:pPr>
              <w:ind w:left="0" w:right="0" w:firstLine="422"/>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1261" w:type="dxa"/>
            <w:vAlign w:val="center"/>
            <w:textDirection w:val="lrTb"/>
            <w:noWrap w:val="false"/>
          </w:tcPr>
          <w:p>
            <w:pPr>
              <w:ind w:left="0" w:right="0" w:firstLine="422"/>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1315" w:type="dxa"/>
            <w:vAlign w:val="center"/>
            <w:textDirection w:val="lrTb"/>
            <w:noWrap w:val="false"/>
          </w:tcPr>
          <w:p>
            <w:pPr>
              <w:ind w:left="0" w:right="0" w:firstLine="422"/>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1125" w:type="dxa"/>
            <w:vAlign w:val="center"/>
            <w:textDirection w:val="lrTb"/>
            <w:noWrap w:val="false"/>
          </w:tcPr>
          <w:p>
            <w:pPr>
              <w:ind w:left="0" w:right="0" w:firstLine="422"/>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948" w:type="dxa"/>
            <w:vAlign w:val="center"/>
            <w:textDirection w:val="lrTb"/>
            <w:noWrap w:val="false"/>
          </w:tcPr>
          <w:p>
            <w:pPr>
              <w:ind w:left="0" w:right="0" w:firstLine="422"/>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940" w:type="dxa"/>
            <w:vAlign w:val="center"/>
            <w:textDirection w:val="lrTb"/>
            <w:noWrap w:val="false"/>
          </w:tcPr>
          <w:p>
            <w:pPr>
              <w:ind w:left="0" w:right="0" w:firstLine="422"/>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1430" w:type="dxa"/>
            <w:vAlign w:val="center"/>
            <w:textDirection w:val="lrTb"/>
            <w:noWrap w:val="false"/>
          </w:tcPr>
          <w:p>
            <w:pPr>
              <w:ind w:left="0" w:right="0" w:firstLine="422"/>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ind w:left="0" w:right="0" w:firstLine="422"/>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注：1、投标人自行根据项目需要配备相应的人员。</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投标人：（签章）</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         年         月       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
        <w:br w:type="page" w:clear="all"/>
      </w:r>
      <w: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附件10、类似业绩一览表</w:t>
      </w:r>
      <w:r/>
    </w:p>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类似业绩一览表</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        号                      </w:t>
      </w:r>
      <w:r/>
    </w:p>
    <w:tbl>
      <w:tblPr>
        <w:tblStyle w:val="70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15"/>
        <w:gridCol w:w="1280"/>
        <w:gridCol w:w="2016"/>
        <w:gridCol w:w="1996"/>
        <w:gridCol w:w="1632"/>
        <w:gridCol w:w="1215"/>
      </w:tblGrid>
      <w:tr>
        <w:trPr>
          <w:trHeight w:val="46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8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1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业主单位（采购单位）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96" w:type="dxa"/>
            <w:vAlign w:val="center"/>
            <w:textDirection w:val="lrTb"/>
            <w:noWrap w:val="false"/>
          </w:tcPr>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合同签订时间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32" w:type="dxa"/>
            <w:vAlign w:val="center"/>
            <w:textDirection w:val="lrTb"/>
            <w:noWrap w:val="false"/>
          </w:tcPr>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合同金额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rHeight w:val="4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0" w:type="dxa"/>
            <w:vAlign w:val="center"/>
            <w:textDirection w:val="lrTb"/>
            <w:noWrap w:val="false"/>
          </w:tcPr>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6" w:type="dxa"/>
            <w:vAlign w:val="center"/>
            <w:textDirection w:val="lrTb"/>
            <w:noWrap w:val="false"/>
          </w:tcPr>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96" w:type="dxa"/>
            <w:vAlign w:val="center"/>
            <w:textDirection w:val="lrTb"/>
            <w:noWrap w:val="false"/>
          </w:tcPr>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2" w:type="dxa"/>
            <w:vAlign w:val="center"/>
            <w:textDirection w:val="lrTb"/>
            <w:noWrap w:val="false"/>
          </w:tcPr>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0" w:type="dxa"/>
            <w:vAlign w:val="center"/>
            <w:textDirection w:val="lrTb"/>
            <w:noWrap w:val="false"/>
          </w:tcPr>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6" w:type="dxa"/>
            <w:vAlign w:val="center"/>
            <w:textDirection w:val="lrTb"/>
            <w:noWrap w:val="false"/>
          </w:tcPr>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96" w:type="dxa"/>
            <w:vAlign w:val="center"/>
            <w:textDirection w:val="lrTb"/>
            <w:noWrap w:val="false"/>
          </w:tcPr>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2" w:type="dxa"/>
            <w:vAlign w:val="center"/>
            <w:textDirection w:val="lrTb"/>
            <w:noWrap w:val="false"/>
          </w:tcPr>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0" w:type="dxa"/>
            <w:vAlign w:val="center"/>
            <w:textDirection w:val="lrTb"/>
            <w:noWrap w:val="false"/>
          </w:tcPr>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6" w:type="dxa"/>
            <w:vAlign w:val="center"/>
            <w:textDirection w:val="lrTb"/>
            <w:noWrap w:val="false"/>
          </w:tcPr>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96" w:type="dxa"/>
            <w:vAlign w:val="center"/>
            <w:textDirection w:val="lrTb"/>
            <w:noWrap w:val="false"/>
          </w:tcPr>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2" w:type="dxa"/>
            <w:vAlign w:val="center"/>
            <w:textDirection w:val="lrTb"/>
            <w:noWrap w:val="false"/>
          </w:tcPr>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0" w:type="dxa"/>
            <w:vAlign w:val="center"/>
            <w:textDirection w:val="lrTb"/>
            <w:noWrap w:val="false"/>
          </w:tcPr>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6" w:type="dxa"/>
            <w:vAlign w:val="center"/>
            <w:textDirection w:val="lrTb"/>
            <w:noWrap w:val="false"/>
          </w:tcPr>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96" w:type="dxa"/>
            <w:vAlign w:val="center"/>
            <w:textDirection w:val="lrTb"/>
            <w:noWrap w:val="false"/>
          </w:tcPr>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2" w:type="dxa"/>
            <w:vAlign w:val="center"/>
            <w:textDirection w:val="lrTb"/>
            <w:noWrap w:val="false"/>
          </w:tcPr>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0" w:type="dxa"/>
            <w:vAlign w:val="center"/>
            <w:textDirection w:val="lrTb"/>
            <w:noWrap w:val="false"/>
          </w:tcPr>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6" w:type="dxa"/>
            <w:vAlign w:val="center"/>
            <w:textDirection w:val="lrTb"/>
            <w:noWrap w:val="false"/>
          </w:tcPr>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96" w:type="dxa"/>
            <w:vAlign w:val="center"/>
            <w:textDirection w:val="lrTb"/>
            <w:noWrap w:val="false"/>
          </w:tcPr>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2" w:type="dxa"/>
            <w:vAlign w:val="center"/>
            <w:textDirection w:val="lrTb"/>
            <w:noWrap w:val="false"/>
          </w:tcPr>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0" w:type="dxa"/>
            <w:vAlign w:val="center"/>
            <w:textDirection w:val="lrTb"/>
            <w:noWrap w:val="false"/>
          </w:tcPr>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6" w:type="dxa"/>
            <w:vAlign w:val="center"/>
            <w:textDirection w:val="lrTb"/>
            <w:noWrap w:val="false"/>
          </w:tcPr>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96" w:type="dxa"/>
            <w:vAlign w:val="center"/>
            <w:textDirection w:val="lrTb"/>
            <w:noWrap w:val="false"/>
          </w:tcPr>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2" w:type="dxa"/>
            <w:vAlign w:val="center"/>
            <w:textDirection w:val="lrTb"/>
            <w:noWrap w:val="false"/>
          </w:tcPr>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投标人：（签章）</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         年         月       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
        <w:br w:type="page" w:clear="all"/>
      </w:r>
      <w: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附件11、关于资格文件的声明函</w:t>
      </w:r>
      <w:r/>
    </w:p>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关于资格文件的声明函</w:t>
      </w:r>
      <w:r/>
    </w:p>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愿就由贵公司组织实施的编号为【】号的招标活动进行投标。本公司所提交的投标文件中所有关于投标资格的文件、证明和陈述均是真实的、有效的、准确的。本公司愿意提供招标文件中要求的所有资料，本公司承诺我单位符合招标文件投标人须知要求中“合格投标人的条件”的资格要求。若与真实情况不符，本公司愿意承担由此而产生的一切后果。</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投标人：（签章）</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         年         月       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
        <w:br w:type="page" w:clear="all"/>
      </w:r>
      <w: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附件12、投标单位情况表</w:t>
      </w:r>
      <w:r/>
    </w:p>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投标单位情况表</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单位名称：（签章）                      </w:t>
      </w:r>
      <w:r/>
    </w:p>
    <w:tbl>
      <w:tblPr>
        <w:tblStyle w:val="70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394"/>
        <w:gridCol w:w="1832"/>
        <w:gridCol w:w="1775"/>
        <w:gridCol w:w="1914"/>
        <w:gridCol w:w="138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32"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7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成立日期</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96"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企业地址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2"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注册资本</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经营范围</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03"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职工人数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2"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89"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其中：有中高级以上职称的人数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2"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资产总计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2" w:type="dxa"/>
            <w:vAlign w:val="center"/>
            <w:textDirection w:val="lrTb"/>
            <w:noWrap w:val="false"/>
          </w:tcPr>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5" w:type="dxa"/>
            <w:vAlign w:val="center"/>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净资产</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center"/>
            <w:textDirection w:val="lrTb"/>
            <w:noWrap w:val="false"/>
          </w:tcPr>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万元</w:t>
            </w:r>
            <w:r/>
          </w:p>
        </w:tc>
      </w:tr>
      <w:tr>
        <w:trPr>
          <w:trHeight w:val="2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股东权益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2" w:type="dxa"/>
            <w:vAlign w:val="center"/>
            <w:textDirection w:val="lrTb"/>
            <w:noWrap w:val="false"/>
          </w:tcPr>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销售收入</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center"/>
            <w:textDirection w:val="lrTb"/>
            <w:noWrap w:val="false"/>
          </w:tcPr>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2024年          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实现利润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2"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2024年  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5"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营业面积（含厂房面积）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2"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平方米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5"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其中：</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自有面积         平方米</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承租面积         平方米</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单位简历及内设机构情况</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03"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单位优势及特长</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03"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近三年来完成或正在履行的重大合同情况</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03"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最近2年内在经营过程中受到何种奖励或处分</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03"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（包括财政、工商、税务、物价、技监部门稽查情况和结果）</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最近3年内有无因售假、售劣或是其他原因被消费者投诉或起诉的情况及说明</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03"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（包括解决方式和结果）</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参加政府采购活动前三年内，在经营活动中有无重大违法记录情况及说明</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03"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获得技术认证的工程师及简介</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03"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其他需要说明的情况</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03"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394"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832"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75"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914"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82" w:type="dxa"/>
            <w:vAlign w:val="center"/>
            <w:textDirection w:val="lrTb"/>
            <w:noWrap w:val="false"/>
          </w:tcPr>
          <w:p>
            <w:pPr>
              <w:spacing w:before="0" w:after="0" w:line="57" w:lineRule="atLeast"/>
            </w:pPr>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
        <w:br w:type="page" w:clear="all"/>
      </w:r>
      <w: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附件13、投标（响应）保证承诺书</w:t>
      </w:r>
      <w:r/>
    </w:p>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投标（响应）保证承诺书</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w:t>
      </w:r>
      <w:r>
        <w:rPr>
          <w:rFonts w:ascii="SimSun" w:hAnsi="SimSun" w:eastAsia="SimSun" w:cs="SimSun"/>
          <w:color w:val="000000"/>
          <w:sz w:val="21"/>
          <w:u w:val="single"/>
        </w:rPr>
        <w:t xml:space="preserve">         （采购代理机构名称）</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我（单位/本人，以下统称我单位）自愿参加</w:t>
      </w:r>
      <w:r>
        <w:rPr>
          <w:rFonts w:ascii="SimSun" w:hAnsi="SimSun" w:eastAsia="SimSun" w:cs="SimSun"/>
          <w:color w:val="000000"/>
          <w:sz w:val="21"/>
          <w:u w:val="single"/>
        </w:rPr>
        <w:t xml:space="preserve">             （项目名称和采购编号）</w:t>
      </w:r>
      <w:r>
        <w:rPr>
          <w:rFonts w:ascii="SimSun" w:hAnsi="SimSun" w:eastAsia="SimSun" w:cs="SimSun"/>
          <w:color w:val="000000"/>
          <w:sz w:val="21"/>
        </w:rPr>
        <w:t xml:space="preserve">的投标（响应）,并做出如下承诺：</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  除不可抗力外，我单位如果发生以下行为，将在行为发生的10个工作日内，向贵方</w:t>
      </w:r>
      <w:r>
        <w:rPr>
          <w:rFonts w:ascii="SimSun" w:hAnsi="SimSun" w:eastAsia="SimSun" w:cs="SimSun"/>
          <w:color w:val="000000"/>
          <w:sz w:val="21"/>
          <w:u w:val="single"/>
        </w:rPr>
        <w:t xml:space="preserve">（或采购单位）</w:t>
      </w:r>
      <w:r>
        <w:rPr>
          <w:rFonts w:ascii="SimSun" w:hAnsi="SimSun" w:eastAsia="SimSun" w:cs="SimSun"/>
          <w:color w:val="000000"/>
          <w:sz w:val="21"/>
        </w:rPr>
        <w:t xml:space="preserve">支付本招标文件公布的预算金额（或最高限价）的2%作为违约赔偿金（数量不确定的单价采购须约定具体金额）。</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1.自投标（响应）截止时间至本项目发布中标（成交）公告为止，撤销投标（响应）；</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2.中标（成交）后不依法与采购单位签订合同；</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3.中标（成交）后不按本招标文件规定向采购单位提交履约保证金（如有）；</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4.中标（成交）后不按本招标文件规定向贵方缴纳采购代理费。</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  我单位知晓上述行为的法律后果，承认本承诺书作为贵方</w:t>
      </w:r>
      <w:r>
        <w:rPr>
          <w:rFonts w:ascii="SimSun" w:hAnsi="SimSun" w:eastAsia="SimSun" w:cs="SimSun"/>
          <w:color w:val="000000"/>
          <w:sz w:val="21"/>
          <w:u w:val="single"/>
        </w:rPr>
        <w:t xml:space="preserve">（或采购单位）</w:t>
      </w:r>
      <w:r>
        <w:rPr>
          <w:rFonts w:ascii="SimSun" w:hAnsi="SimSun" w:eastAsia="SimSun" w:cs="SimSun"/>
          <w:color w:val="000000"/>
          <w:sz w:val="21"/>
        </w:rPr>
        <w:t xml:space="preserve">要求我单位履行违约赔偿义务的依据作用。</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投标（响应）人（签章）：</w:t>
      </w:r>
      <w:r>
        <w:rPr>
          <w:rFonts w:ascii="SimSun" w:hAnsi="SimSun" w:eastAsia="SimSun" w:cs="SimSun"/>
          <w:color w:val="000000"/>
          <w:sz w:val="21"/>
          <w:u w:val="single"/>
        </w:rPr>
        <w:t xml:space="preserve">                      </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w:t>
      </w:r>
      <w:r>
        <w:rPr>
          <w:rFonts w:ascii="SimSun" w:hAnsi="SimSun" w:eastAsia="SimSun" w:cs="SimSun"/>
          <w:color w:val="000000"/>
          <w:sz w:val="21"/>
          <w:u w:val="single"/>
        </w:rPr>
        <w:t xml:space="preserve">                 </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传真：</w:t>
      </w:r>
      <w:r>
        <w:rPr>
          <w:rFonts w:ascii="SimSun" w:hAnsi="SimSun" w:eastAsia="SimSun" w:cs="SimSun"/>
          <w:color w:val="000000"/>
          <w:sz w:val="21"/>
          <w:u w:val="single"/>
        </w:rPr>
        <w:t xml:space="preserve">                      </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电子邮件：</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邮编：</w:t>
      </w:r>
      <w:r>
        <w:rPr>
          <w:rFonts w:ascii="SimSun" w:hAnsi="SimSun" w:eastAsia="SimSun" w:cs="SimSun"/>
          <w:color w:val="000000"/>
          <w:sz w:val="21"/>
          <w:u w:val="single"/>
        </w:rPr>
        <w:t xml:space="preserve">                      </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rPr>
          <w:rFonts w:ascii="SimSun" w:hAnsi="SimSun" w:eastAsia="SimSun" w:cs="SimSun"/>
          <w:color w:val="000000"/>
          <w:sz w:val="21"/>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
        <w:br w:type="page" w:clear="all"/>
      </w:r>
      <w: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附件14、合格投标人资格证明材料</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合格投标人资格证明材料</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采购编号：             号                      标段号：</w:t>
      </w:r>
      <w:r/>
    </w:p>
    <w:tbl>
      <w:tblPr>
        <w:tblStyle w:val="70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62"/>
        <w:gridCol w:w="3355"/>
        <w:gridCol w:w="1673"/>
        <w:gridCol w:w="3464"/>
      </w:tblGrid>
      <w:tr>
        <w:trPr>
          <w:trHeight w:val="69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355" w:type="dxa"/>
            <w:vAlign w:val="center"/>
            <w:textDirection w:val="lrTb"/>
            <w:noWrap w:val="false"/>
          </w:tcPr>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投标单位资格要求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是否完全响应</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464" w:type="dxa"/>
            <w:vAlign w:val="center"/>
            <w:textDirection w:val="lrTb"/>
            <w:noWrap w:val="false"/>
          </w:tcPr>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rHeight w:val="6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5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具有独立承担民事责任的能力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6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提供包括法人或者其他组织的营业执照等证明文件，自然人的身份证明</w:t>
            </w:r>
            <w:r/>
          </w:p>
        </w:tc>
      </w:tr>
      <w:tr>
        <w:trPr>
          <w:trHeight w:val="6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5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具有良好的商业信誉和健全的财务会计制度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6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提供2024年度审计报告，或银行出具的资信证明，或财政部门认可的政府采购专业担保机构出具的投标担保函</w:t>
            </w:r>
            <w:r/>
          </w:p>
        </w:tc>
      </w:tr>
      <w:tr>
        <w:trPr>
          <w:trHeight w:val="6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5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具有履行合同所必需的设备和专业技术能力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6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提供证明材料或承诺</w:t>
            </w:r>
            <w:r/>
          </w:p>
        </w:tc>
      </w:tr>
      <w:tr>
        <w:trPr>
          <w:trHeight w:val="6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5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有依法缴纳税收和社会保障资金的良好记录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6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供应商参加本次政府采购活动前半年（至少一个月）依法缴纳税收和社会保险的凭据；依法免税或不需要缴纳社会保障资金的供应商，应提供相应证明资料证明其依法免税或不需要缴纳社会保障资金，否则不予认可</w:t>
            </w:r>
            <w:r/>
          </w:p>
        </w:tc>
      </w:tr>
      <w:tr>
        <w:trPr>
          <w:trHeight w:val="6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5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参加政府采购活动前三年内，在经营活动中没有重大违法记录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6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提供书面声明函</w:t>
            </w:r>
            <w:r/>
          </w:p>
        </w:tc>
      </w:tr>
      <w:tr>
        <w:trPr>
          <w:trHeight w:val="6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5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法律、行政法规规定的其他条件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64"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5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合格投标单位其他特定资格要求（如有）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6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按招标公告要求提供相关证明材料</w:t>
            </w:r>
            <w:r/>
          </w:p>
        </w:tc>
      </w:tr>
    </w:tbl>
    <w:p>
      <w:pPr>
        <w:ind w:left="0" w:right="0" w:firstLine="63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投标单位：（签章）</w:t>
      </w:r>
      <w:r/>
    </w:p>
    <w:p>
      <w:pPr>
        <w:ind w:left="0" w:right="0" w:firstLine="63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附件15、声明函</w:t>
      </w:r>
      <w:r/>
    </w:p>
    <w:p>
      <w:pPr>
        <w:ind w:left="0" w:right="0" w:firstLine="2741"/>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w:t>
      </w:r>
      <w:r>
        <w:rPr>
          <w:rFonts w:ascii="SimSun" w:hAnsi="SimSun" w:eastAsia="SimSun" w:cs="SimSun"/>
          <w:color w:val="000000"/>
          <w:sz w:val="21"/>
        </w:rPr>
        <w:t xml:space="preserve">中小企业声明函（货物）</w:t>
      </w:r>
      <w:r/>
    </w:p>
    <w:p>
      <w:pPr>
        <w:ind w:left="0" w:right="0" w:firstLine="41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本公司</w:t>
      </w:r>
      <w:r>
        <w:rPr>
          <w:rFonts w:ascii="SimSun" w:hAnsi="SimSun" w:eastAsia="SimSun" w:cs="SimSun"/>
          <w:color w:val="000000"/>
          <w:sz w:val="21"/>
        </w:rPr>
        <w:t xml:space="preserve">（联合体</w:t>
      </w:r>
      <w:r>
        <w:rPr>
          <w:rFonts w:ascii="SimSun" w:hAnsi="SimSun" w:eastAsia="SimSun" w:cs="SimSun"/>
          <w:color w:val="000000"/>
          <w:spacing w:val="-5"/>
          <w:sz w:val="21"/>
        </w:rPr>
        <w:t xml:space="preserve">）</w:t>
      </w:r>
      <w:r>
        <w:rPr>
          <w:rFonts w:ascii="SimSun" w:hAnsi="SimSun" w:eastAsia="SimSun" w:cs="SimSun"/>
          <w:color w:val="000000"/>
          <w:spacing w:val="-2"/>
          <w:sz w:val="21"/>
        </w:rPr>
        <w:t xml:space="preserve">郑重声明，根据《政府采购促进中小</w:t>
      </w:r>
      <w:r>
        <w:rPr>
          <w:rFonts w:ascii="SimSun" w:hAnsi="SimSun" w:eastAsia="SimSun" w:cs="SimSun"/>
          <w:color w:val="000000"/>
          <w:spacing w:val="-18"/>
          <w:sz w:val="21"/>
        </w:rPr>
        <w:t xml:space="preserve">企业发展管理办法》</w:t>
      </w:r>
      <w:r>
        <w:rPr>
          <w:rFonts w:ascii="SimSun" w:hAnsi="SimSun" w:eastAsia="SimSun" w:cs="SimSun"/>
          <w:color w:val="000000"/>
          <w:sz w:val="21"/>
        </w:rPr>
        <w:t xml:space="preserve">（</w:t>
      </w:r>
      <w:r>
        <w:rPr>
          <w:rFonts w:ascii="SimSun" w:hAnsi="SimSun" w:eastAsia="SimSun" w:cs="SimSun"/>
          <w:color w:val="000000"/>
          <w:spacing w:val="5"/>
          <w:sz w:val="21"/>
        </w:rPr>
        <w:t xml:space="preserve">财库</w:t>
      </w:r>
      <w:r>
        <w:rPr>
          <w:rFonts w:ascii="SimSun" w:hAnsi="SimSun" w:eastAsia="SimSun" w:cs="SimSun"/>
          <w:color w:val="000000"/>
          <w:sz w:val="21"/>
        </w:rPr>
        <w:t xml:space="preserve">﹝2020﹞46</w:t>
      </w:r>
      <w:r>
        <w:rPr>
          <w:rFonts w:ascii="SimSun" w:hAnsi="SimSun" w:eastAsia="SimSun" w:cs="SimSun"/>
          <w:color w:val="000000"/>
          <w:spacing w:val="-38"/>
          <w:sz w:val="21"/>
        </w:rPr>
        <w:t xml:space="preserve"> 号</w:t>
      </w:r>
      <w:r>
        <w:rPr>
          <w:rFonts w:ascii="SimSun" w:hAnsi="SimSun" w:eastAsia="SimSun" w:cs="SimSun"/>
          <w:color w:val="000000"/>
          <w:spacing w:val="5"/>
          <w:sz w:val="21"/>
        </w:rPr>
        <w:t xml:space="preserve">）</w:t>
      </w:r>
      <w:r>
        <w:rPr>
          <w:rFonts w:ascii="SimSun" w:hAnsi="SimSun" w:eastAsia="SimSun" w:cs="SimSun"/>
          <w:color w:val="000000"/>
          <w:sz w:val="21"/>
        </w:rPr>
        <w:t xml:space="preserve">的规定，本公司（联合体）</w:t>
      </w:r>
      <w:r>
        <w:rPr>
          <w:rFonts w:ascii="SimSun" w:hAnsi="SimSun" w:eastAsia="SimSun" w:cs="SimSun"/>
          <w:color w:val="000000"/>
          <w:spacing w:val="-8"/>
          <w:sz w:val="21"/>
        </w:rPr>
        <w:t xml:space="preserve">参</w:t>
      </w:r>
      <w:r>
        <w:rPr>
          <w:rFonts w:ascii="SimSun" w:hAnsi="SimSun" w:eastAsia="SimSun" w:cs="SimSun"/>
          <w:color w:val="000000"/>
          <w:spacing w:val="-2"/>
          <w:sz w:val="21"/>
        </w:rPr>
        <w:t xml:space="preserve">加（单位名称）的（项目名称）采购活</w:t>
      </w:r>
      <w:r>
        <w:rPr>
          <w:rFonts w:ascii="SimSun" w:hAnsi="SimSun" w:eastAsia="SimSun" w:cs="SimSun"/>
          <w:color w:val="000000"/>
          <w:spacing w:val="-1"/>
          <w:sz w:val="21"/>
        </w:rPr>
        <w:t xml:space="preserve">动，</w:t>
      </w:r>
      <w:r>
        <w:rPr>
          <w:rFonts w:ascii="SimSun" w:hAnsi="SimSun" w:eastAsia="SimSun" w:cs="SimSun"/>
          <w:color w:val="000000"/>
          <w:spacing w:val="-2"/>
          <w:sz w:val="21"/>
        </w:rPr>
        <w:t xml:space="preserve">提供的货物全部由符合政策要求的中小企业制造。相关企业（含联合体中的中小企业、签订分包</w:t>
      </w:r>
      <w:r>
        <w:rPr>
          <w:rFonts w:ascii="SimSun" w:hAnsi="SimSun" w:eastAsia="SimSun" w:cs="SimSun"/>
          <w:color w:val="000000"/>
          <w:sz w:val="21"/>
        </w:rPr>
        <w:t xml:space="preserve">意向协议的中小企业） 的具体情况如下：</w:t>
      </w:r>
      <w:r/>
    </w:p>
    <w:p>
      <w:pPr>
        <w:ind w:left="0" w:right="0" w:firstLine="412"/>
        <w:spacing w:before="0" w:after="0" w:line="85" w:lineRule="atLeast"/>
        <w:tabs>
          <w:tab w:val="left" w:pos="1183" w:leader="none"/>
          <w:tab w:val="left" w:pos="1484" w:leader="none"/>
          <w:tab w:val="left" w:pos="4662" w:leader="none"/>
          <w:tab w:val="left" w:pos="690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1、</w:t>
      </w:r>
      <w:r>
        <w:rPr>
          <w:rFonts w:ascii="SimSun" w:hAnsi="SimSun" w:eastAsia="SimSun" w:cs="SimSun"/>
          <w:color w:val="000000"/>
          <w:spacing w:val="-2"/>
          <w:sz w:val="21"/>
          <w:u w:val="single"/>
        </w:rPr>
        <w:t xml:space="preserve">（标的名称）</w:t>
      </w:r>
      <w:r>
        <w:rPr>
          <w:rFonts w:ascii="SimSun" w:hAnsi="SimSun" w:eastAsia="SimSun" w:cs="SimSun"/>
          <w:color w:val="000000"/>
          <w:spacing w:val="-2"/>
          <w:sz w:val="21"/>
        </w:rPr>
        <w:t xml:space="preserve">，属于（工业）行业；制造商为（企业名称），从业人员</w:t>
      </w:r>
      <w:r>
        <w:rPr>
          <w:rFonts w:ascii="SimSun" w:hAnsi="SimSun" w:eastAsia="SimSun" w:cs="SimSun"/>
          <w:color w:val="000000"/>
          <w:spacing w:val="-2"/>
          <w:sz w:val="21"/>
          <w:u w:val="single"/>
        </w:rPr>
        <w:t xml:space="preserve">  </w:t>
      </w:r>
      <w:r>
        <w:rPr>
          <w:rFonts w:ascii="SimSun" w:hAnsi="SimSun" w:eastAsia="SimSun" w:cs="SimSun"/>
          <w:color w:val="000000"/>
          <w:spacing w:val="-2"/>
          <w:sz w:val="21"/>
        </w:rPr>
        <w:t xml:space="preserve">人，营业收入为</w:t>
      </w:r>
      <w:r>
        <w:rPr>
          <w:rFonts w:ascii="SimSun" w:hAnsi="SimSun" w:eastAsia="SimSun" w:cs="SimSun"/>
          <w:color w:val="000000"/>
          <w:spacing w:val="-2"/>
          <w:sz w:val="21"/>
          <w:u w:val="single"/>
        </w:rPr>
        <w:t xml:space="preserve">  </w:t>
      </w:r>
      <w:r>
        <w:rPr>
          <w:rFonts w:ascii="SimSun" w:hAnsi="SimSun" w:eastAsia="SimSun" w:cs="SimSun"/>
          <w:color w:val="000000"/>
          <w:spacing w:val="-2"/>
          <w:sz w:val="21"/>
        </w:rPr>
        <w:t xml:space="preserve">万元，资产总额为</w:t>
      </w:r>
      <w:r>
        <w:rPr>
          <w:rFonts w:ascii="SimSun" w:hAnsi="SimSun" w:eastAsia="SimSun" w:cs="SimSun"/>
          <w:color w:val="000000"/>
          <w:spacing w:val="-2"/>
          <w:sz w:val="21"/>
          <w:u w:val="single"/>
        </w:rPr>
        <w:t xml:space="preserve">  </w:t>
      </w:r>
      <w:r>
        <w:rPr>
          <w:rFonts w:ascii="SimSun" w:hAnsi="SimSun" w:eastAsia="SimSun" w:cs="SimSun"/>
          <w:color w:val="000000"/>
          <w:spacing w:val="-2"/>
          <w:sz w:val="21"/>
        </w:rPr>
        <w:t xml:space="preserve">万元，属于</w:t>
      </w:r>
      <w:r>
        <w:rPr>
          <w:rFonts w:ascii="SimSun" w:hAnsi="SimSun" w:eastAsia="SimSun" w:cs="SimSun"/>
          <w:color w:val="000000"/>
          <w:spacing w:val="-2"/>
          <w:sz w:val="21"/>
          <w:u w:val="single"/>
        </w:rPr>
        <w:t xml:space="preserve">（中型企业、小型企业、微型企业）</w:t>
      </w:r>
      <w:r>
        <w:rPr>
          <w:rFonts w:ascii="SimSun" w:hAnsi="SimSun" w:eastAsia="SimSun" w:cs="SimSun"/>
          <w:color w:val="000000"/>
          <w:spacing w:val="-2"/>
          <w:sz w:val="21"/>
        </w:rPr>
        <w:t xml:space="preserve">；</w:t>
      </w:r>
      <w:r/>
    </w:p>
    <w:p>
      <w:pPr>
        <w:ind w:left="0" w:right="0" w:firstLine="412"/>
        <w:spacing w:before="0" w:after="0" w:line="85" w:lineRule="atLeast"/>
        <w:tabs>
          <w:tab w:val="left" w:pos="1183" w:leader="none"/>
          <w:tab w:val="left" w:pos="1484" w:leader="none"/>
          <w:tab w:val="left" w:pos="4662" w:leader="none"/>
          <w:tab w:val="left" w:pos="690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2、</w:t>
      </w:r>
      <w:r>
        <w:rPr>
          <w:rFonts w:ascii="SimSun" w:hAnsi="SimSun" w:eastAsia="SimSun" w:cs="SimSun"/>
          <w:color w:val="000000"/>
          <w:spacing w:val="-2"/>
          <w:sz w:val="21"/>
          <w:u w:val="single"/>
        </w:rPr>
        <w:t xml:space="preserve">（标的名称）</w:t>
      </w:r>
      <w:r>
        <w:rPr>
          <w:rFonts w:ascii="SimSun" w:hAnsi="SimSun" w:eastAsia="SimSun" w:cs="SimSun"/>
          <w:color w:val="000000"/>
          <w:spacing w:val="-2"/>
          <w:sz w:val="21"/>
        </w:rPr>
        <w:t xml:space="preserve">，属于（工业）行业；制造商为（企业名称），从业人员</w:t>
      </w:r>
      <w:r>
        <w:rPr>
          <w:rFonts w:ascii="SimSun" w:hAnsi="SimSun" w:eastAsia="SimSun" w:cs="SimSun"/>
          <w:color w:val="000000"/>
          <w:spacing w:val="-2"/>
          <w:sz w:val="21"/>
          <w:u w:val="single"/>
        </w:rPr>
        <w:t xml:space="preserve">  </w:t>
      </w:r>
      <w:r>
        <w:rPr>
          <w:rFonts w:ascii="SimSun" w:hAnsi="SimSun" w:eastAsia="SimSun" w:cs="SimSun"/>
          <w:color w:val="000000"/>
          <w:spacing w:val="-2"/>
          <w:sz w:val="21"/>
        </w:rPr>
        <w:t xml:space="preserve">人，营业收入为</w:t>
      </w:r>
      <w:r>
        <w:rPr>
          <w:rFonts w:ascii="SimSun" w:hAnsi="SimSun" w:eastAsia="SimSun" w:cs="SimSun"/>
          <w:color w:val="000000"/>
          <w:spacing w:val="-2"/>
          <w:sz w:val="21"/>
          <w:u w:val="single"/>
        </w:rPr>
        <w:t xml:space="preserve">  </w:t>
      </w:r>
      <w:r>
        <w:rPr>
          <w:rFonts w:ascii="SimSun" w:hAnsi="SimSun" w:eastAsia="SimSun" w:cs="SimSun"/>
          <w:color w:val="000000"/>
          <w:spacing w:val="-2"/>
          <w:sz w:val="21"/>
        </w:rPr>
        <w:t xml:space="preserve">万元，资产总额为</w:t>
      </w:r>
      <w:r>
        <w:rPr>
          <w:rFonts w:ascii="SimSun" w:hAnsi="SimSun" w:eastAsia="SimSun" w:cs="SimSun"/>
          <w:color w:val="000000"/>
          <w:spacing w:val="-2"/>
          <w:sz w:val="21"/>
          <w:u w:val="single"/>
        </w:rPr>
        <w:t xml:space="preserve">  </w:t>
      </w:r>
      <w:r>
        <w:rPr>
          <w:rFonts w:ascii="SimSun" w:hAnsi="SimSun" w:eastAsia="SimSun" w:cs="SimSun"/>
          <w:color w:val="000000"/>
          <w:spacing w:val="-2"/>
          <w:sz w:val="21"/>
        </w:rPr>
        <w:t xml:space="preserve">万元，属于</w:t>
      </w:r>
      <w:r>
        <w:rPr>
          <w:rFonts w:ascii="SimSun" w:hAnsi="SimSun" w:eastAsia="SimSun" w:cs="SimSun"/>
          <w:color w:val="000000"/>
          <w:spacing w:val="-2"/>
          <w:sz w:val="21"/>
          <w:u w:val="single"/>
        </w:rPr>
        <w:t xml:space="preserve">（中型企业、小型企业、微型企业）</w:t>
      </w:r>
      <w:r>
        <w:rPr>
          <w:rFonts w:ascii="SimSun" w:hAnsi="SimSun" w:eastAsia="SimSun" w:cs="SimSun"/>
          <w:color w:val="000000"/>
          <w:spacing w:val="-2"/>
          <w:sz w:val="21"/>
        </w:rPr>
        <w:t xml:space="preserve">；</w:t>
      </w:r>
      <w:r/>
    </w:p>
    <w:p>
      <w:pPr>
        <w:ind w:left="0" w:right="0" w:firstLine="41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w:t>
      </w:r>
      <w:r/>
    </w:p>
    <w:p>
      <w:pPr>
        <w:ind w:left="0" w:right="0" w:firstLine="4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1"/>
        </w:rPr>
        <w:t xml:space="preserve">以上企业，不属于大企业的分支机构，不存在控股股东</w:t>
      </w:r>
      <w:r>
        <w:rPr>
          <w:rFonts w:ascii="SimSun" w:hAnsi="SimSun" w:eastAsia="SimSun" w:cs="SimSun"/>
          <w:color w:val="000000"/>
          <w:spacing w:val="-5"/>
          <w:sz w:val="21"/>
        </w:rPr>
        <w:t xml:space="preserve">为大企业的情形，也不存在与大企业的负责人为同一人的情形。</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本企业对上述声明内容的真实性负责。如有虚假，将依法承担相应责任。</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企业名称（盖章）：</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法定代表人或代理人：（签字或盖章）</w:t>
      </w:r>
      <w:r/>
    </w:p>
    <w:p>
      <w:pPr>
        <w:ind w:left="0" w:right="0" w:firstLine="63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备注：1.从业人员、营业收入、资产总额填报上一年度数据，无上一年度数据的新成立企业可不填报。</w:t>
      </w:r>
      <w:r/>
    </w:p>
    <w:p>
      <w:pPr>
        <w:ind w:left="0" w:right="0" w:firstLine="63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2.在货物采购项目中，货物由中小企业制造，即货物由中小企业生产且使用该中小企业商号或者注册商标。</w:t>
      </w:r>
      <w:r>
        <w:rPr>
          <w:rFonts w:ascii="SimSun" w:hAnsi="SimSun" w:eastAsia="SimSun" w:cs="SimSun"/>
          <w:color w:val="000000"/>
          <w:sz w:val="21"/>
        </w:rPr>
        <w:t xml:space="preserve">供应商提供的货物既有中小企业制造货物，也有大型企业制造货物的，不享受相应扶持政策。</w:t>
      </w:r>
      <w:r/>
    </w:p>
    <w:p>
      <w:pPr>
        <w:ind w:left="0" w:right="0" w:firstLine="63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3.《中小企业声明函》中所填的行业应与本采购标的对应的中小企业划分标准所属行业一致，不一致的不可享受相应政策优惠。</w:t>
      </w:r>
      <w:r>
        <w:rPr>
          <w:rFonts w:ascii="SimSun" w:hAnsi="SimSun" w:eastAsia="SimSun" w:cs="SimSun"/>
          <w:color w:val="000000"/>
          <w:sz w:val="21"/>
        </w:rPr>
        <w:t xml:space="preserve">本采购标的对应的中小企业划分标准所属行业，以采购文件中具体规定为准。</w:t>
      </w:r>
      <w:r/>
    </w:p>
    <w:p>
      <w:pPr>
        <w:ind w:left="0" w:right="0" w:firstLine="63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4.如未对（中型企业、小型企业、微型企业）进行勾选，视同非中小微企业，不可享受相应扶持政策。</w:t>
      </w:r>
      <w:r/>
    </w:p>
    <w:p>
      <w:pPr>
        <w:ind w:left="840" w:right="0" w:hanging="21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5.中标单位为中小企业的，《中小企业声明函》将随中标结果同时公告。</w:t>
      </w:r>
      <w:r/>
    </w:p>
    <w:p>
      <w:pPr>
        <w:ind w:left="840" w:right="0" w:hanging="21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附：中小企业划型标准规定</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（一）农、林、牧、渔业。</w:t>
      </w:r>
      <w:r>
        <w:rPr>
          <w:rFonts w:ascii="SimSun" w:hAnsi="SimSun" w:eastAsia="SimSun" w:cs="SimSun"/>
          <w:color w:val="000000"/>
          <w:sz w:val="21"/>
        </w:rPr>
        <w:t xml:space="preserve">营业收入20000万元以下的为中小微型企业。其中，营业收入500万元及以上的为中型企业，营业收入50万元及以上的为小型企业，营业收入50万元以下的为微型企业。</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（二）工业。</w:t>
      </w:r>
      <w:r>
        <w:rPr>
          <w:rFonts w:ascii="SimSun" w:hAnsi="SimSun" w:eastAsia="SimSun" w:cs="SimSun"/>
          <w:color w:val="000000"/>
          <w:sz w:val="21"/>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（三）建筑业。</w:t>
      </w:r>
      <w:r>
        <w:rPr>
          <w:rFonts w:ascii="SimSun" w:hAnsi="SimSun" w:eastAsia="SimSun" w:cs="SimSun"/>
          <w:color w:val="000000"/>
          <w:sz w:val="21"/>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（四）批发业。</w:t>
      </w:r>
      <w:r>
        <w:rPr>
          <w:rFonts w:ascii="SimSun" w:hAnsi="SimSun" w:eastAsia="SimSun" w:cs="SimSun"/>
          <w:color w:val="000000"/>
          <w:sz w:val="21"/>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（五）零售业。</w:t>
      </w:r>
      <w:r>
        <w:rPr>
          <w:rFonts w:ascii="SimSun" w:hAnsi="SimSun" w:eastAsia="SimSun" w:cs="SimSun"/>
          <w:color w:val="000000"/>
          <w:sz w:val="21"/>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（六）交通运输业。</w:t>
      </w:r>
      <w:r>
        <w:rPr>
          <w:rFonts w:ascii="SimSun" w:hAnsi="SimSun" w:eastAsia="SimSun" w:cs="SimSun"/>
          <w:color w:val="000000"/>
          <w:sz w:val="21"/>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（七）仓储业。</w:t>
      </w:r>
      <w:r>
        <w:rPr>
          <w:rFonts w:ascii="SimSun" w:hAnsi="SimSun" w:eastAsia="SimSun" w:cs="SimSun"/>
          <w:color w:val="000000"/>
          <w:sz w:val="21"/>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（八）邮政业。</w:t>
      </w:r>
      <w:r>
        <w:rPr>
          <w:rFonts w:ascii="SimSun" w:hAnsi="SimSun" w:eastAsia="SimSun" w:cs="SimSun"/>
          <w:color w:val="000000"/>
          <w:sz w:val="21"/>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（九）住宿业。</w:t>
      </w:r>
      <w:r>
        <w:rPr>
          <w:rFonts w:ascii="SimSun" w:hAnsi="SimSun" w:eastAsia="SimSun" w:cs="SimSun"/>
          <w:color w:val="000000"/>
          <w:sz w:val="21"/>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（十）餐饮业。</w:t>
      </w:r>
      <w:r>
        <w:rPr>
          <w:rFonts w:ascii="SimSun" w:hAnsi="SimSun" w:eastAsia="SimSun" w:cs="SimSun"/>
          <w:color w:val="000000"/>
          <w:sz w:val="21"/>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（十一）信息传输业。</w:t>
      </w:r>
      <w:r>
        <w:rPr>
          <w:rFonts w:ascii="SimSun" w:hAnsi="SimSun" w:eastAsia="SimSun" w:cs="SimSun"/>
          <w:color w:val="000000"/>
          <w:sz w:val="21"/>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（十二）软件和信息技术服务业。</w:t>
      </w:r>
      <w:r>
        <w:rPr>
          <w:rFonts w:ascii="SimSun" w:hAnsi="SimSun" w:eastAsia="SimSun" w:cs="SimSun"/>
          <w:color w:val="000000"/>
          <w:sz w:val="21"/>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（十三）房地产开发经营。</w:t>
      </w:r>
      <w:r>
        <w:rPr>
          <w:rFonts w:ascii="SimSun" w:hAnsi="SimSun" w:eastAsia="SimSun" w:cs="SimSun"/>
          <w:color w:val="000000"/>
          <w:sz w:val="21"/>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（十四）物业管理。</w:t>
      </w:r>
      <w:r>
        <w:rPr>
          <w:rFonts w:ascii="SimSun" w:hAnsi="SimSun" w:eastAsia="SimSun" w:cs="SimSun"/>
          <w:color w:val="000000"/>
          <w:sz w:val="21"/>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（十五）租赁和商务服务业。</w:t>
      </w:r>
      <w:r>
        <w:rPr>
          <w:rFonts w:ascii="SimSun" w:hAnsi="SimSun" w:eastAsia="SimSun" w:cs="SimSun"/>
          <w:color w:val="000000"/>
          <w:sz w:val="21"/>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right="0" w:firstLine="422"/>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（十六）其他未列明行业。</w:t>
      </w:r>
      <w:r>
        <w:rPr>
          <w:rFonts w:ascii="Times New Roman" w:hAnsi="Times New Roman" w:eastAsia="Times New Roman" w:cs="Times New Roman"/>
          <w:color w:val="000000"/>
          <w:sz w:val="21"/>
        </w:rPr>
        <w:t xml:space="preserve">从业人员300人以下的为中小微型企业。其中，从业人员100人及以上的为中型企业；从业人员10人及以上的为小型企业；从业人员10人以下的为微型企业。</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spacing w:before="240" w:after="240"/>
        <w:rPr>
          <w:rFonts w:ascii="Times New Roman" w:hAnsi="Times New Roman" w:eastAsia="Times New Roman" w:cs="Times New Roman"/>
          <w:color w:val="000000"/>
          <w:sz w:val="21"/>
          <w:szCs w:val="2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
    </w:p>
    <w:p>
      <w:pPr>
        <w:ind w:left="0" w:right="0" w:firstLine="420"/>
        <w:spacing w:before="240" w:after="240"/>
        <w:pBdr>
          <w:top w:val="none" w:color="000000" w:sz="4" w:space="0"/>
          <w:left w:val="none" w:color="000000" w:sz="4" w:space="0"/>
          <w:bottom w:val="none" w:color="000000" w:sz="4" w:space="0"/>
          <w:right w:val="none" w:color="000000" w:sz="4" w:space="0"/>
        </w:pBdr>
      </w:pPr>
      <w:r/>
      <w:r/>
    </w:p>
    <w:p>
      <w:pPr>
        <w:ind w:left="0" w:right="0" w:firstLine="420"/>
        <w:spacing w:before="240" w:after="240"/>
        <w:pBdr>
          <w:top w:val="none" w:color="000000" w:sz="4" w:space="0"/>
          <w:left w:val="none" w:color="000000" w:sz="4" w:space="0"/>
          <w:bottom w:val="none" w:color="000000" w:sz="4" w:space="0"/>
          <w:right w:val="none" w:color="000000" w:sz="4" w:space="0"/>
        </w:pBdr>
      </w:pPr>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none"/>
        </w:rPr>
      </w:r>
      <w:r>
        <w:rPr>
          <w:rFonts w:ascii="Times New Roman" w:hAnsi="Times New Roman" w:eastAsia="Times New Roman" w:cs="Times New Roman"/>
          <w:color w:val="000000"/>
          <w:sz w:val="21"/>
          <w:highlight w:val="none"/>
        </w:rP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残疾人福利性单位声明函</w:t>
      </w:r>
      <w:r/>
    </w:p>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4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本单位郑重声明，根据《财政部  民政部  中国残疾人联合会关于促进残疾人就业政府采购政策的通知》（财库</w:t>
      </w:r>
      <w:r>
        <w:rPr>
          <w:rFonts w:ascii="SimSun" w:hAnsi="SimSun" w:eastAsia="SimSun" w:cs="SimSun"/>
          <w:color w:val="000000"/>
          <w:sz w:val="21"/>
        </w:rPr>
        <w:t xml:space="preserve">〔2017〕141</w:t>
      </w:r>
      <w:r>
        <w:rPr>
          <w:rFonts w:ascii="SimSun" w:hAnsi="SimSun" w:eastAsia="SimSun" w:cs="SimSun"/>
          <w:color w:val="000000"/>
          <w:spacing w:val="6"/>
          <w:sz w:val="21"/>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left="0" w:right="0" w:firstLine="44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本单位对上述声明的真实性负责。如有虚假，将依法承担相应责任。</w:t>
      </w:r>
      <w:r/>
    </w:p>
    <w:p>
      <w:pPr>
        <w:ind w:left="0" w:right="0" w:firstLine="44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 </w:t>
      </w:r>
      <w:r/>
    </w:p>
    <w:p>
      <w:pPr>
        <w:ind w:left="0" w:right="0" w:firstLine="44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 </w:t>
      </w:r>
      <w:r/>
    </w:p>
    <w:p>
      <w:pPr>
        <w:ind w:left="0" w:right="0" w:firstLine="444"/>
        <w:jc w:val="center"/>
        <w:spacing w:before="0" w:after="0" w:line="85"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                                  单位名称（盖章）：</w:t>
      </w:r>
      <w:r/>
    </w:p>
    <w:p>
      <w:pPr>
        <w:ind w:left="0" w:right="0" w:firstLine="444"/>
        <w:jc w:val="center"/>
        <w:spacing w:before="0" w:after="0" w:line="85"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                          日 期：</w:t>
      </w:r>
      <w:r/>
    </w:p>
    <w:p>
      <w:pPr>
        <w:ind w:left="0" w:right="0" w:firstLine="33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备注：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中标单位为残疾人福利性单位的，采购单位或者其委托的采购代理机构应当随中标、成交结果同时公告其《残疾人福利性单位声明函》，接受社会</w:t>
      </w:r>
      <w:r>
        <w:rPr>
          <w:rFonts w:ascii="SimSun" w:hAnsi="SimSun" w:eastAsia="SimSun" w:cs="SimSun"/>
          <w:color w:val="000000"/>
          <w:spacing w:val="6"/>
          <w:sz w:val="21"/>
        </w:rPr>
        <w:t xml:space="preserve">监督。</w:t>
      </w:r>
      <w:r/>
    </w:p>
    <w:p>
      <w:pPr>
        <w:ind w:left="0" w:right="0" w:firstLine="33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33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 </w:t>
      </w:r>
      <w:r/>
    </w:p>
    <w:p>
      <w:pPr>
        <w:ind w:left="0" w:right="0" w:firstLine="2741"/>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highlight w:val="white"/>
        </w:rPr>
        <w:t xml:space="preserve"> </w:t>
      </w:r>
      <w:r>
        <w:rPr>
          <w:rFonts w:ascii="SimSun" w:hAnsi="SimSun" w:eastAsia="SimSun" w:cs="SimSun"/>
          <w:b/>
          <w:color w:val="000000"/>
          <w:sz w:val="21"/>
        </w:rPr>
        <w:t xml:space="preserve">（2）关于符合本国产品标准的声明函</w:t>
      </w:r>
      <w:r/>
    </w:p>
    <w:p>
      <w:pPr>
        <w:ind w:left="0" w:right="0" w:firstLine="420"/>
        <w:spacing w:before="30" w:after="30" w:line="450" w:lineRule="atLeast"/>
        <w:shd w:val="clear" w:color="ffffff" w:fill="ffffff"/>
        <w:pBdr>
          <w:top w:val="none" w:color="000000" w:sz="4" w:space="0"/>
          <w:left w:val="none" w:color="000000" w:sz="4" w:space="0"/>
          <w:bottom w:val="none" w:color="000000" w:sz="4" w:space="0"/>
          <w:right w:val="none" w:color="000000" w:sz="4" w:space="0"/>
        </w:pBdr>
      </w:pPr>
      <w:r>
        <w:rPr>
          <w:rFonts w:ascii="Segoe UI" w:hAnsi="Segoe UI" w:eastAsia="Segoe UI" w:cs="Segoe UI"/>
          <w:color w:val="000000"/>
          <w:sz w:val="19"/>
        </w:rPr>
        <w:t xml:space="preserve"> </w:t>
      </w:r>
      <w:r/>
    </w:p>
    <w:p>
      <w:pPr>
        <w:ind w:left="0" w:right="0" w:firstLine="33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240" w:after="24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w:t>
      </w:r>
      <w:r>
        <w:rPr>
          <w:rFonts w:ascii="SimSun" w:hAnsi="SimSun" w:eastAsia="SimSun" w:cs="SimSun"/>
          <w:color w:val="000000"/>
          <w:sz w:val="21"/>
          <w:highlight w:val="white"/>
          <w:u w:val="single"/>
        </w:rPr>
        <w:t xml:space="preserve">（产品名称1）</w:t>
      </w:r>
      <w:r>
        <w:rPr>
          <w:rFonts w:ascii="SimSun" w:hAnsi="SimSun" w:eastAsia="SimSun" w:cs="SimSun"/>
          <w:color w:val="000000"/>
          <w:sz w:val="21"/>
          <w:highlight w:val="white"/>
          <w:vertAlign w:val="superscript"/>
        </w:rPr>
        <w:t xml:space="preserve">1</w:t>
      </w:r>
      <w:r>
        <w:rPr>
          <w:rFonts w:ascii="SimSun" w:hAnsi="SimSun" w:eastAsia="SimSun" w:cs="SimSun"/>
          <w:color w:val="000000"/>
          <w:sz w:val="21"/>
          <w:highlight w:val="white"/>
        </w:rPr>
        <w:t xml:space="preserve">，生产厂为</w:t>
      </w:r>
      <w:r>
        <w:rPr>
          <w:rFonts w:ascii="SimSun" w:hAnsi="SimSun" w:eastAsia="SimSun" w:cs="SimSun"/>
          <w:color w:val="000000"/>
          <w:sz w:val="21"/>
          <w:highlight w:val="white"/>
          <w:u w:val="single"/>
        </w:rPr>
        <w:t xml:space="preserve">（厂名）</w:t>
      </w:r>
      <w:r>
        <w:rPr>
          <w:rFonts w:ascii="SimSun" w:hAnsi="SimSun" w:eastAsia="SimSun" w:cs="SimSun"/>
          <w:color w:val="000000"/>
          <w:sz w:val="18"/>
          <w:highlight w:val="white"/>
          <w:u w:val="single"/>
          <w:vertAlign w:val="superscript"/>
        </w:rPr>
        <w:t xml:space="preserve">2</w:t>
      </w:r>
      <w:r>
        <w:rPr>
          <w:rFonts w:ascii="SimSun" w:hAnsi="SimSun" w:eastAsia="SimSun" w:cs="SimSun"/>
          <w:color w:val="000000"/>
          <w:sz w:val="21"/>
          <w:highlight w:val="white"/>
        </w:rPr>
        <w:t xml:space="preserve">，厂址为</w:t>
      </w:r>
      <w:r>
        <w:rPr>
          <w:rFonts w:ascii="SimSun" w:hAnsi="SimSun" w:eastAsia="SimSun" w:cs="SimSun"/>
          <w:color w:val="000000"/>
          <w:sz w:val="21"/>
          <w:highlight w:val="white"/>
          <w:u w:val="single"/>
        </w:rPr>
        <w:t xml:space="preserve">（生产厂址）</w:t>
      </w:r>
      <w:r>
        <w:rPr>
          <w:rFonts w:ascii="SimSun" w:hAnsi="SimSun" w:eastAsia="SimSun" w:cs="SimSun"/>
          <w:color w:val="000000"/>
          <w:sz w:val="21"/>
          <w:highlight w:val="white"/>
        </w:rPr>
        <w:t xml:space="preserve">。</w:t>
      </w:r>
      <w:r>
        <w:rPr>
          <w:rFonts w:ascii="SimSun" w:hAnsi="SimSun" w:eastAsia="SimSun" w:cs="SimSun"/>
          <w:color w:val="000000"/>
          <w:sz w:val="21"/>
          <w:highlight w:val="white"/>
          <w:u w:val="single"/>
        </w:rPr>
        <w:t xml:space="preserve">（产品名称1）</w:t>
      </w:r>
      <w:r>
        <w:rPr>
          <w:rFonts w:ascii="SimSun" w:hAnsi="SimSun" w:eastAsia="SimSun" w:cs="SimSun"/>
          <w:color w:val="000000"/>
          <w:sz w:val="21"/>
          <w:highlight w:val="white"/>
        </w:rPr>
        <w:t xml:space="preserve">的中国境内生产的组件成本占比≥</w:t>
      </w:r>
      <w:r>
        <w:rPr>
          <w:rFonts w:ascii="SimSun" w:hAnsi="SimSun" w:eastAsia="SimSun" w:cs="SimSun"/>
          <w:color w:val="000000"/>
          <w:sz w:val="21"/>
          <w:highlight w:val="white"/>
          <w:u w:val="single"/>
        </w:rPr>
        <w:t xml:space="preserve">（规定比例）</w:t>
      </w:r>
      <w:r>
        <w:rPr>
          <w:rFonts w:ascii="SimSun" w:hAnsi="SimSun" w:eastAsia="SimSun" w:cs="SimSun"/>
          <w:color w:val="000000"/>
          <w:sz w:val="18"/>
          <w:highlight w:val="white"/>
          <w:vertAlign w:val="superscript"/>
        </w:rPr>
        <w:t xml:space="preserve">3</w:t>
      </w:r>
      <w:r>
        <w:rPr>
          <w:rFonts w:ascii="SimSun" w:hAnsi="SimSun" w:eastAsia="SimSun" w:cs="SimSun"/>
          <w:color w:val="000000"/>
          <w:sz w:val="21"/>
          <w:highlight w:val="white"/>
        </w:rPr>
        <w:t xml:space="preserve">。</w:t>
      </w:r>
      <w:r>
        <w:rPr>
          <w:rFonts w:ascii="SimSun" w:hAnsi="SimSun" w:eastAsia="SimSun" w:cs="SimSun"/>
          <w:color w:val="000000"/>
          <w:sz w:val="21"/>
          <w:highlight w:val="white"/>
          <w:u w:val="single"/>
        </w:rPr>
        <w:t xml:space="preserve">（产品名称1）</w:t>
      </w:r>
      <w:r>
        <w:rPr>
          <w:rFonts w:ascii="SimSun" w:hAnsi="SimSun" w:eastAsia="SimSun" w:cs="SimSun"/>
          <w:color w:val="000000"/>
          <w:sz w:val="21"/>
          <w:highlight w:val="white"/>
        </w:rPr>
        <w:t xml:space="preserve">的</w:t>
      </w:r>
      <w:r>
        <w:rPr>
          <w:rFonts w:ascii="SimSun" w:hAnsi="SimSun" w:eastAsia="SimSun" w:cs="SimSun"/>
          <w:color w:val="000000"/>
          <w:sz w:val="21"/>
          <w:highlight w:val="white"/>
          <w:u w:val="single"/>
        </w:rPr>
        <w:t xml:space="preserve">（关键组件）</w:t>
      </w:r>
      <w:r>
        <w:rPr>
          <w:rFonts w:ascii="SimSun" w:hAnsi="SimSun" w:eastAsia="SimSun" w:cs="SimSun"/>
          <w:color w:val="000000"/>
          <w:sz w:val="18"/>
          <w:highlight w:val="white"/>
          <w:vertAlign w:val="superscript"/>
        </w:rPr>
        <w:t xml:space="preserve">4</w:t>
      </w:r>
      <w:r>
        <w:rPr>
          <w:rFonts w:ascii="SimSun" w:hAnsi="SimSun" w:eastAsia="SimSun" w:cs="SimSun"/>
          <w:color w:val="000000"/>
          <w:sz w:val="21"/>
          <w:highlight w:val="white"/>
        </w:rPr>
        <w:t xml:space="preserve">在中国境内生产。</w:t>
      </w:r>
      <w:r>
        <w:rPr>
          <w:rFonts w:ascii="SimSun" w:hAnsi="SimSun" w:eastAsia="SimSun" w:cs="SimSun"/>
          <w:color w:val="000000"/>
          <w:sz w:val="21"/>
          <w:highlight w:val="white"/>
          <w:u w:val="single"/>
        </w:rPr>
        <w:t xml:space="preserve">（产品名称1）</w:t>
      </w:r>
      <w:r>
        <w:rPr>
          <w:rFonts w:ascii="SimSun" w:hAnsi="SimSun" w:eastAsia="SimSun" w:cs="SimSun"/>
          <w:color w:val="000000"/>
          <w:sz w:val="21"/>
          <w:highlight w:val="white"/>
        </w:rPr>
        <w:t xml:space="preserve">的</w:t>
      </w:r>
      <w:r>
        <w:rPr>
          <w:rFonts w:ascii="SimSun" w:hAnsi="SimSun" w:eastAsia="SimSun" w:cs="SimSun"/>
          <w:color w:val="000000"/>
          <w:sz w:val="21"/>
          <w:highlight w:val="white"/>
          <w:u w:val="single"/>
        </w:rPr>
        <w:t xml:space="preserve">（关键工序）</w:t>
      </w:r>
      <w:r>
        <w:rPr>
          <w:rFonts w:ascii="SimSun" w:hAnsi="SimSun" w:eastAsia="SimSun" w:cs="SimSun"/>
          <w:color w:val="000000"/>
          <w:sz w:val="18"/>
          <w:highlight w:val="white"/>
          <w:u w:val="single"/>
          <w:vertAlign w:val="superscript"/>
        </w:rPr>
        <w:t xml:space="preserve">5</w:t>
      </w:r>
      <w:r>
        <w:rPr>
          <w:rFonts w:ascii="SimSun" w:hAnsi="SimSun" w:eastAsia="SimSun" w:cs="SimSun"/>
          <w:color w:val="000000"/>
          <w:sz w:val="21"/>
          <w:highlight w:val="white"/>
        </w:rPr>
        <w:t xml:space="preserve">在中国境内完成。</w:t>
      </w:r>
      <w:r/>
    </w:p>
    <w:p>
      <w:pPr>
        <w:ind w:left="0" w:right="0" w:firstLine="420"/>
        <w:spacing w:before="240" w:after="24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w:t>
      </w:r>
      <w:r>
        <w:rPr>
          <w:rFonts w:ascii="SimSun" w:hAnsi="SimSun" w:eastAsia="SimSun" w:cs="SimSun"/>
          <w:color w:val="000000"/>
          <w:sz w:val="21"/>
          <w:highlight w:val="white"/>
          <w:u w:val="single"/>
        </w:rPr>
        <w:t xml:space="preserve">（产品名称2）</w:t>
      </w:r>
      <w:r>
        <w:rPr>
          <w:rFonts w:ascii="SimSun" w:hAnsi="SimSun" w:eastAsia="SimSun" w:cs="SimSun"/>
          <w:color w:val="000000"/>
          <w:sz w:val="21"/>
          <w:highlight w:val="white"/>
        </w:rPr>
        <w:t xml:space="preserve">，生产厂为</w:t>
      </w:r>
      <w:r>
        <w:rPr>
          <w:rFonts w:ascii="SimSun" w:hAnsi="SimSun" w:eastAsia="SimSun" w:cs="SimSun"/>
          <w:color w:val="000000"/>
          <w:sz w:val="21"/>
          <w:highlight w:val="white"/>
          <w:u w:val="single"/>
        </w:rPr>
        <w:t xml:space="preserve">（厂名）</w:t>
      </w:r>
      <w:r>
        <w:rPr>
          <w:rFonts w:ascii="SimSun" w:hAnsi="SimSun" w:eastAsia="SimSun" w:cs="SimSun"/>
          <w:color w:val="000000"/>
          <w:sz w:val="21"/>
          <w:highlight w:val="white"/>
        </w:rPr>
        <w:t xml:space="preserve">，厂址为</w:t>
      </w:r>
      <w:r>
        <w:rPr>
          <w:rFonts w:ascii="SimSun" w:hAnsi="SimSun" w:eastAsia="SimSun" w:cs="SimSun"/>
          <w:color w:val="000000"/>
          <w:sz w:val="21"/>
          <w:highlight w:val="white"/>
          <w:u w:val="single"/>
        </w:rPr>
        <w:t xml:space="preserve">（生产厂址）</w:t>
      </w:r>
      <w:r>
        <w:rPr>
          <w:rFonts w:ascii="SimSun" w:hAnsi="SimSun" w:eastAsia="SimSun" w:cs="SimSun"/>
          <w:color w:val="000000"/>
          <w:sz w:val="21"/>
          <w:highlight w:val="white"/>
        </w:rPr>
        <w:t xml:space="preserve">。</w:t>
      </w:r>
      <w:r>
        <w:rPr>
          <w:rFonts w:ascii="SimSun" w:hAnsi="SimSun" w:eastAsia="SimSun" w:cs="SimSun"/>
          <w:color w:val="000000"/>
          <w:sz w:val="21"/>
          <w:highlight w:val="white"/>
          <w:u w:val="single"/>
        </w:rPr>
        <w:t xml:space="preserve">（产品名称2）</w:t>
      </w:r>
      <w:r>
        <w:rPr>
          <w:rFonts w:ascii="SimSun" w:hAnsi="SimSun" w:eastAsia="SimSun" w:cs="SimSun"/>
          <w:color w:val="000000"/>
          <w:sz w:val="21"/>
          <w:highlight w:val="white"/>
        </w:rPr>
        <w:t xml:space="preserve">的中国境内生产的组件成本占比≥</w:t>
      </w:r>
      <w:r>
        <w:rPr>
          <w:rFonts w:ascii="SimSun" w:hAnsi="SimSun" w:eastAsia="SimSun" w:cs="SimSun"/>
          <w:color w:val="000000"/>
          <w:sz w:val="21"/>
          <w:highlight w:val="white"/>
          <w:u w:val="single"/>
        </w:rPr>
        <w:t xml:space="preserve">（规定比例）</w:t>
      </w:r>
      <w:r>
        <w:rPr>
          <w:rFonts w:ascii="SimSun" w:hAnsi="SimSun" w:eastAsia="SimSun" w:cs="SimSun"/>
          <w:color w:val="000000"/>
          <w:sz w:val="21"/>
          <w:highlight w:val="white"/>
        </w:rPr>
        <w:t xml:space="preserve">。</w:t>
      </w:r>
      <w:r>
        <w:rPr>
          <w:rFonts w:ascii="SimSun" w:hAnsi="SimSun" w:eastAsia="SimSun" w:cs="SimSun"/>
          <w:color w:val="000000"/>
          <w:sz w:val="21"/>
          <w:highlight w:val="white"/>
          <w:u w:val="single"/>
        </w:rPr>
        <w:t xml:space="preserve">（产品名称2）</w:t>
      </w:r>
      <w:r>
        <w:rPr>
          <w:rFonts w:ascii="SimSun" w:hAnsi="SimSun" w:eastAsia="SimSun" w:cs="SimSun"/>
          <w:color w:val="000000"/>
          <w:sz w:val="21"/>
          <w:highlight w:val="white"/>
        </w:rPr>
        <w:t xml:space="preserve">的</w:t>
      </w:r>
      <w:r>
        <w:rPr>
          <w:rFonts w:ascii="SimSun" w:hAnsi="SimSun" w:eastAsia="SimSun" w:cs="SimSun"/>
          <w:color w:val="000000"/>
          <w:sz w:val="21"/>
          <w:highlight w:val="white"/>
          <w:u w:val="single"/>
        </w:rPr>
        <w:t xml:space="preserve">（关键组件）</w:t>
      </w:r>
      <w:r>
        <w:rPr>
          <w:rFonts w:ascii="SimSun" w:hAnsi="SimSun" w:eastAsia="SimSun" w:cs="SimSun"/>
          <w:color w:val="000000"/>
          <w:sz w:val="21"/>
          <w:highlight w:val="white"/>
        </w:rPr>
        <w:t xml:space="preserve">在中国境内生产。</w:t>
      </w:r>
      <w:r>
        <w:rPr>
          <w:rFonts w:ascii="SimSun" w:hAnsi="SimSun" w:eastAsia="SimSun" w:cs="SimSun"/>
          <w:color w:val="000000"/>
          <w:sz w:val="21"/>
          <w:highlight w:val="white"/>
          <w:u w:val="single"/>
        </w:rPr>
        <w:t xml:space="preserve">（产品名称2）</w:t>
      </w:r>
      <w:r>
        <w:rPr>
          <w:rFonts w:ascii="SimSun" w:hAnsi="SimSun" w:eastAsia="SimSun" w:cs="SimSun"/>
          <w:color w:val="000000"/>
          <w:sz w:val="21"/>
          <w:highlight w:val="white"/>
        </w:rPr>
        <w:t xml:space="preserve">的</w:t>
      </w:r>
      <w:r>
        <w:rPr>
          <w:rFonts w:ascii="SimSun" w:hAnsi="SimSun" w:eastAsia="SimSun" w:cs="SimSun"/>
          <w:color w:val="000000"/>
          <w:sz w:val="21"/>
          <w:highlight w:val="white"/>
          <w:u w:val="single"/>
        </w:rPr>
        <w:t xml:space="preserve">（关键工序）</w:t>
      </w:r>
      <w:r>
        <w:rPr>
          <w:rFonts w:ascii="SimSun" w:hAnsi="SimSun" w:eastAsia="SimSun" w:cs="SimSun"/>
          <w:color w:val="000000"/>
          <w:sz w:val="21"/>
          <w:highlight w:val="white"/>
        </w:rPr>
        <w:t xml:space="preserve">在中国境内完成。</w:t>
      </w:r>
      <w:r/>
    </w:p>
    <w:p>
      <w:pPr>
        <w:ind w:left="0" w:right="0" w:firstLine="420"/>
        <w:spacing w:before="240" w:after="24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w:t>
      </w:r>
      <w:r/>
    </w:p>
    <w:p>
      <w:pPr>
        <w:ind w:left="0" w:right="0" w:firstLine="420"/>
        <w:spacing w:before="240" w:after="24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本公司（单位）对上述声明内容的真实性负责。如有虚假，愿承担相应法律责任。</w:t>
      </w:r>
      <w:r/>
    </w:p>
    <w:p>
      <w:pPr>
        <w:ind w:left="0" w:right="0" w:firstLine="420"/>
        <w:spacing w:before="240" w:after="24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p>
    <w:p>
      <w:pPr>
        <w:ind w:left="0" w:right="0" w:firstLine="420"/>
        <w:jc w:val="right"/>
        <w:spacing w:before="240" w:after="24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公司（单位）名称（盖章）：　</w:t>
      </w:r>
      <w:r/>
    </w:p>
    <w:p>
      <w:pPr>
        <w:ind w:left="0" w:right="0" w:firstLine="420"/>
        <w:jc w:val="right"/>
        <w:spacing w:before="240" w:after="24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日期：　 年　  月　  日  </w:t>
      </w:r>
      <w:r/>
    </w:p>
    <w:p>
      <w:pPr>
        <w:ind w:left="0" w:right="0" w:firstLine="0"/>
        <w:spacing w:before="30" w:after="30" w:line="450" w:lineRule="atLeast"/>
        <w:shd w:val="clear" w:color="ffffff" w:fill="ffffff"/>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highlight w:val="white"/>
        </w:rPr>
        <w:t xml:space="preserve">__________________</w:t>
      </w:r>
      <w:r/>
    </w:p>
    <w:p>
      <w:pPr>
        <w:ind w:left="0" w:right="0" w:firstLine="420"/>
        <w:spacing w:before="30" w:after="30" w:line="45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1.产品如有型号，请在“产品名称”栏一并填写。</w:t>
      </w:r>
      <w:r/>
    </w:p>
    <w:p>
      <w:pPr>
        <w:ind w:left="0" w:right="0" w:firstLine="420"/>
        <w:spacing w:before="30" w:after="30" w:line="45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2.生产厂名与厂址应与生产厂营业执照载明的相关信息保持一致。</w:t>
      </w:r>
      <w:r/>
    </w:p>
    <w:p>
      <w:pPr>
        <w:ind w:left="0" w:right="0" w:firstLine="420"/>
        <w:spacing w:before="30" w:after="30" w:line="45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3.该产品的中国境内生产的组件成本占比相关要求实施前，“规定比例”栏可不填，下同。</w:t>
      </w:r>
      <w:r/>
    </w:p>
    <w:p>
      <w:pPr>
        <w:ind w:left="0" w:right="0" w:firstLine="420"/>
        <w:spacing w:before="30" w:after="30" w:line="45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4.该产品的关键组件要求实施前，“关键组件”栏可不填，下同。</w:t>
      </w:r>
      <w:r/>
    </w:p>
    <w:p>
      <w:pPr>
        <w:ind w:left="0" w:right="0" w:firstLine="420"/>
        <w:spacing w:before="30" w:after="30" w:line="45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5.该产品的关键工序要求实施前，“关键工序”栏可不填，下同。</w:t>
      </w:r>
      <w:r/>
    </w:p>
    <w:p>
      <w:pPr>
        <w:ind w:left="0" w:right="0" w:firstLine="33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 </w:t>
      </w:r>
      <w:r/>
    </w:p>
    <w:p>
      <w:pPr>
        <w:ind w:left="0" w:right="0" w:firstLine="33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备注：符合国务院办公厅印发《关于在政府采购中实施本国产品标准及相关政策的通知》（国办发〔2025〕34号）规定条件的单位在参加政府采购活动时，应当提供《关于符合本国产品标准的声明函》，并对声明的真实性负责。任何单位或者个人在政府采购活动中均不得要求提供其他证明声明函内容的材料。供应商提供的《关于符合本国产品标准的声明函》与事实不符的，依照《政府采购法》第七十七条第一款的规定追究法律责任。符合本国产品标准的，采购单位或者其委托的采购代理机构应当随中标、成交结果同时公告其《关于符合本国产品标准的声明函》，接受社</w:t>
      </w:r>
      <w:r>
        <w:rPr>
          <w:rFonts w:ascii="SimSun" w:hAnsi="SimSun" w:eastAsia="SimSun" w:cs="SimSun"/>
          <w:color w:val="000000"/>
          <w:spacing w:val="6"/>
          <w:sz w:val="21"/>
        </w:rPr>
        <w:t xml:space="preserve">会监督。</w:t>
      </w:r>
      <w:r/>
    </w:p>
    <w:p>
      <w:pPr>
        <w:ind w:left="0" w:right="0" w:firstLine="33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 </w:t>
      </w:r>
      <w:r/>
    </w:p>
    <w:p>
      <w:pPr>
        <w:ind w:left="0" w:right="0" w:firstLine="33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 </w:t>
      </w:r>
      <w:r/>
    </w:p>
    <w:p>
      <w:pPr>
        <w:ind w:left="0" w:right="0" w:firstLine="33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 </w:t>
      </w:r>
      <w:r/>
    </w:p>
    <w:p>
      <w:pPr>
        <w:ind w:left="0" w:right="0" w:firstLine="33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 </w:t>
      </w:r>
      <w:r/>
    </w:p>
    <w:p>
      <w:pPr>
        <w:ind w:left="0" w:right="0" w:firstLine="33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 </w:t>
      </w:r>
      <w:r/>
    </w:p>
    <w:p>
      <w:pPr>
        <w:ind w:left="0" w:right="0" w:firstLine="33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 </w:t>
      </w:r>
      <w:r/>
    </w:p>
    <w:p>
      <w:pPr>
        <w:ind w:left="0" w:right="0" w:firstLine="33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 </w:t>
      </w:r>
      <w:r/>
    </w:p>
    <w:p>
      <w:pPr>
        <w:ind w:left="0" w:right="0" w:firstLine="33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 </w:t>
      </w:r>
      <w:r/>
    </w:p>
    <w:p>
      <w:pPr>
        <w:ind w:left="0" w:right="0" w:firstLine="33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 </w:t>
      </w:r>
      <w:r/>
    </w:p>
    <w:p>
      <w:pPr>
        <w:ind w:left="0" w:right="0" w:firstLine="33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 </w:t>
      </w:r>
      <w:r/>
    </w:p>
    <w:p>
      <w:pPr>
        <w:ind w:left="0" w:right="0" w:firstLine="33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 </w:t>
      </w:r>
      <w:r/>
    </w:p>
    <w:p>
      <w:pPr>
        <w:ind w:left="0" w:right="0" w:firstLine="33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附件16：政府采购合同信用融资政策告知函（本附件无需签章放置投标文件中）</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政府采购合同信用融资政策告知函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各政府采购供应商：</w:t>
      </w:r>
      <w:r/>
    </w:p>
    <w:p>
      <w:pPr>
        <w:ind w:left="0" w:right="0" w:firstLine="63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欢迎贵公司参加苏州市政府采购活动！</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
        <w:br w:type="page" w:clear="all"/>
      </w:r>
      <w:r/>
      <w:r/>
      <w:r/>
    </w:p>
    <w:p>
      <w:pPr>
        <w:ind w:left="0" w:right="0" w:firstLine="640"/>
        <w:jc w:val="center"/>
        <w:spacing w:before="240" w:after="240" w:line="85" w:lineRule="atLeast"/>
        <w:tabs>
          <w:tab w:val="left" w:pos="830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第四章</w:t>
      </w:r>
      <w:r>
        <w:rPr>
          <w:rFonts w:ascii="Calibri" w:hAnsi="Calibri" w:eastAsia="Calibri" w:cs="Calibri"/>
          <w:b/>
          <w:color w:val="000000"/>
          <w:sz w:val="32"/>
        </w:rPr>
        <w:t xml:space="preserve"> </w:t>
      </w:r>
      <w:r>
        <w:rPr>
          <w:rFonts w:ascii="SimSun" w:hAnsi="SimSun" w:eastAsia="SimSun" w:cs="SimSun"/>
          <w:b/>
          <w:color w:val="000000"/>
          <w:sz w:val="32"/>
        </w:rPr>
        <w:t xml:space="preserve">招标书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受南京医科大学姑苏学院的委托，江苏省设备成套股份有限公司作为招标代理机构，就其委托的南京医科大学姑苏学院精准蛋白组检测试剂的政府采购进行国内公开招标。</w:t>
      </w:r>
      <w:r/>
    </w:p>
    <w:p>
      <w:pPr>
        <w:pStyle w:val="956"/>
        <w:numPr>
          <w:ilvl w:val="0"/>
          <w:numId w:val="0"/>
        </w:numPr>
        <w:jc w:val="both"/>
        <w:spacing w:before="0" w:after="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一、招标编号：</w:t>
      </w:r>
      <w:r>
        <w:rPr>
          <w:rFonts w:ascii="SimSun" w:hAnsi="SimSun" w:eastAsia="SimSun" w:cs="SimSun"/>
          <w:color w:val="000000"/>
          <w:sz w:val="21"/>
        </w:rPr>
        <w:t xml:space="preserve">JSZC-320500-JCEC-G2025-0573号</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二、项目名称：</w:t>
      </w:r>
      <w:r>
        <w:rPr>
          <w:rFonts w:ascii="SimSun" w:hAnsi="SimSun" w:eastAsia="SimSun" w:cs="SimSun"/>
          <w:color w:val="000000"/>
          <w:sz w:val="21"/>
        </w:rPr>
        <w:t xml:space="preserve">南京医科大学姑苏学院精准蛋白组检测试剂</w:t>
      </w:r>
      <w:r/>
    </w:p>
    <w:p>
      <w:pPr>
        <w:numPr>
          <w:ilvl w:val="0"/>
          <w:numId w:val="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预算金额及最高限价：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预算金额：人民币壹仟陆佰万元整（¥：16000000.00）</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最高限价：人民币壹仟陆佰万元整（¥：16000000.00）</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四、采购清单</w:t>
      </w:r>
      <w:r/>
    </w:p>
    <w:tbl>
      <w:tblPr>
        <w:tblStyle w:val="70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90"/>
        <w:gridCol w:w="2739"/>
        <w:gridCol w:w="1985"/>
        <w:gridCol w:w="858"/>
        <w:gridCol w:w="1680"/>
      </w:tblGrid>
      <w:tr>
        <w:trPr>
          <w:trHeight w:val="49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3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8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采购数量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单价限价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80"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蛋白组检测试剂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不少于</w:t>
            </w:r>
            <w:r>
              <w:rPr>
                <w:rFonts w:ascii="Times New Roman" w:hAnsi="Times New Roman" w:eastAsia="Times New Roman" w:cs="Times New Roman"/>
                <w:color w:val="000000"/>
                <w:sz w:val="21"/>
              </w:rPr>
              <w:t xml:space="preserve">7000</w:t>
            </w:r>
            <w:r>
              <w:rPr>
                <w:rFonts w:ascii="SimSun" w:hAnsi="SimSun" w:eastAsia="SimSun" w:cs="SimSun"/>
                <w:color w:val="000000"/>
                <w:sz w:val="21"/>
              </w:rPr>
              <w:t xml:space="preserve">人份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2285元/人份</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（注意：单价、合计均不可超出相应的最高限价）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接受进口产品投标</w:t>
            </w:r>
            <w:r/>
          </w:p>
        </w:tc>
      </w:tr>
    </w:tbl>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五、具体技术要求</w:t>
      </w: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1.支持样本类型：人源血浆、血清、脑脊液、细胞和组织裂解液、微透析液、关节积液、穿刺液、疱液等各种生物样本。</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2.样本需求：每次实验损耗不多于20 微升。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3.试剂盒规格：每次实验可有效检测不少于88个客户自定义样本。</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4.样本检测通量：可实现每周检测不少于500个血浆样本。</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5.蛋白质检测灵敏度：不低于10ng/ml。</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6.蛋白质组成分复杂，要求检测动态范围：不低于6个log的动态覆盖。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★7.检测蛋白数量：在同一样品孔中、不多于20微升的血浆样本中，每次实验可检测不少于2900种蛋白标志物。</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8.检测数据可支持多组学数据整合，可兼容高通量平台检测手段。</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9.信号通路覆盖度：前述的2900种蛋白标志物，需经严谨的科学设计，与国际上权威数据库匹配，实证可以覆盖100%的主要生物学信号通路，以满足各种疾病的研究需求。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10.每个试剂盒、每一个检测指标，均可提供充分的质量控制验证文件，包括但不限于灵敏度，特异性，动态范围等。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采购文件中标“★”的内容为实质性要求，需提供完全符合或优于该技术参数的证明材料并加盖投标单位公章，未提供证明材料视为非实质性响应。（相关证明材料包括但不限于明确说明该技术内容的公开发行的产品彩页或产品说明书或第三方检测机构的检测报告等，自拟无效。）</w:t>
      </w:r>
      <w:r/>
    </w:p>
    <w:p>
      <w:pPr>
        <w:ind w:left="424"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六、质保及售后服务要求：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1．交货地点：甲方指定地点。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免费质保期（试剂有效期）≥3个月，自验收合格之日起算。在产品质保期内，一旦发生质量问题，供应商需在2小时内响应，并保证在接到通知工作日的4小时内到进行更换或退货处理，费用由供应商负责。如供应商在接到通知工作日的24小时内没有答复或处理问题，则视为供应商承认质量问题并承担由此而发生的一切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3.供应商需负责采购标的物的运输。</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4.试剂盒生产厂家具备高质量的上门培训和技术落地能力；如为进口产品，原厂在中国境内需设有办公室及应用专家团队。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试剂盒生产厂家可提供完整的售后服务体系，为采购人后续蛋白质组分析提供专业匹配的生物信息学工具（包括但不仅限于分析软件包），可协助采购人对蛋白质组数据进行质控，预处理，统计分析、Pathway分析以及可视化呈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试剂盒生产厂家可提供蛋白匹配工具，可协助采购人筛选针对具体的疾病类型、生物学过程的目标蛋白进行深度研究。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试剂盒生产厂家可提供检索工具，可协助采购人对差异蛋白进行功能检索和已发表文献检索。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试剂盒生产厂家需要提供以上所有生信工具以及实验方案的培训。</w:t>
      </w:r>
      <w:r/>
    </w:p>
    <w:p>
      <w:pPr>
        <w:ind w:left="424"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七、综合说明及其他要求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1、投标单位所投产品应明确所投产品的品牌、型号、规格和外形、尺寸及一些必须说明的技术参数，以及设备配置清单，同时明确生产厂家、型号规格等，并提供详细的技术参数及性能说明书。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2、投标单位根据招标文件中提出的全部技术规格与要求选择配置并列出所投设备的技术规格，如果以其中某些条款不响应时，应在投标文件中逐条列出，未列出的视同响应。</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总报价一次报定，所报总价包括但不限于本合同所涉全部货物、辅助材料、安装、调试、培训、验收、人工、机械、运输、仓储、保险、运费、采购代理服务费、各种税费、劳保、专利技术及质保期间等一切费用；与现有/后期设备对接等各项应有费用以及其它乙方认为应纳入的一切费用；甲方无须支付其他任何费用。同时，除非合同条款中另有规定，否则乙方所报价格在合同实施期间不因市场变化因素而变动。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4、交货期限：在合同签订生效后，按照甲方要求分批次送货到位并安装调试结束。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5、交货地点：南京医科大学姑苏学院（具体按照采购单位要求）。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6、验收要求：具体按合同要求执行。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7、其他要求：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7.1 试剂供应数量：可以完成不少于7000人份检测。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知识产权：供方应保证采购人免除且供方承担由于采购人在其本国使用该设备或设备任何一部分时而引起第三方提出的侵犯专利权、商标权或工业设计权的起诉、行动、行政程序索赔、请求等以及采购人为此而产生的损失和损害、费用和支出（包括律师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9、凡涉及招标文件的补充说明和修改，均以招标代理机构书面通知为准。</w:t>
      </w:r>
      <w:r/>
    </w:p>
    <w:p>
      <w:pPr>
        <w:ind w:left="424"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八、政策执行（如涉及）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b/>
          <w:color w:val="000000"/>
          <w:sz w:val="21"/>
        </w:rPr>
        <w:t xml:space="preserve">本次招标接受进口设备的投标</w:t>
      </w:r>
      <w:r>
        <w:rPr>
          <w:rFonts w:ascii="SimSun" w:hAnsi="SimSun" w:eastAsia="SimSun" w:cs="SimSun"/>
          <w:color w:val="000000"/>
          <w:sz w:val="21"/>
        </w:rPr>
        <w:t xml:space="preserve">，进口产品的定义为：指通过中国海关报关验收进入中国境内且产自境外的产品，具体按照苏财购〔2008〕14号江苏省财政厅转发财政部办公厅关于政府采购进口产品管理有关问题的通知的规定。</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2、中、小、微企业</w:t>
      </w:r>
      <w:r>
        <w:rPr>
          <w:rFonts w:ascii="SimSun" w:hAnsi="SimSun" w:eastAsia="SimSun" w:cs="SimSun"/>
          <w:b/>
          <w:color w:val="000000"/>
          <w:sz w:val="21"/>
        </w:rPr>
        <w:t xml:space="preserve">（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小型企业和微型企业的投标报价扣除20%后参与评审。</w:t>
      </w:r>
      <w:r>
        <w:rPr>
          <w:rFonts w:ascii="SimSun" w:hAnsi="SimSun" w:eastAsia="SimSun" w:cs="SimSun"/>
          <w:b/>
          <w:color w:val="000000"/>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ascii="SimSun" w:hAnsi="SimSun" w:eastAsia="SimSun" w:cs="SimSun"/>
          <w:b/>
          <w:color w:val="000000"/>
          <w:sz w:val="21"/>
        </w:rPr>
        <w:t xml:space="preserve">服务类项目中供应商若使用退休人员，将不享受相关扶持政策。</w:t>
      </w:r>
      <w:r/>
    </w:p>
    <w:p>
      <w:pPr>
        <w:ind w:left="0" w:right="0" w:firstLine="422"/>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根据《政府采购促进中小企业发展管理办法》（财库〔2020〕46号）及《中小企业划型标准规定》（工信部联企业〔2011〕300号），本采购项目对应的中小企业划分标准所属行业为：工业。</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3、残疾人福利性单位</w:t>
      </w:r>
      <w:r>
        <w:rPr>
          <w:rFonts w:ascii="SimSun" w:hAnsi="SimSun" w:eastAsia="SimSun" w:cs="SimSun"/>
          <w:b/>
          <w:color w:val="000000"/>
          <w:sz w:val="21"/>
        </w:rPr>
        <w:t xml:space="preserve">（若为专门面向中小企业采购的项目或者采购包，不再执行价格评审优惠的扶持政策）</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关于促进残疾人就业政府采购政策的通知》（财库〔2017〕141号）的相关规定，在政府采购活动中残疾人福利性单位视同小型、微型企业，享受预留份额、评审中价格扣除（其投标报价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4、监狱企业</w:t>
      </w:r>
      <w:r>
        <w:rPr>
          <w:rFonts w:ascii="SimSun" w:hAnsi="SimSun" w:eastAsia="SimSun" w:cs="SimSun"/>
          <w:b/>
          <w:color w:val="000000"/>
          <w:sz w:val="21"/>
        </w:rPr>
        <w:t xml:space="preserve">（若为专门面向中小企业采购的项目或者采购包，不再执行价格评审优惠的扶持政策）</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left="0" w:right="0" w:firstLine="420"/>
        <w:jc w:val="both"/>
        <w:spacing w:before="0" w:after="0"/>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5.对本国产品的支持政策</w:t>
      </w:r>
      <w:r/>
    </w:p>
    <w:p>
      <w:pPr>
        <w:ind w:left="0" w:right="0" w:firstLine="420"/>
        <w:jc w:val="both"/>
        <w:spacing w:before="0" w:after="0"/>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国务院办公厅关于在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w:t>
      </w:r>
      <w:r>
        <w:rPr>
          <w:rFonts w:ascii="SimSun" w:hAnsi="SimSun" w:eastAsia="SimSun" w:cs="SimSun"/>
          <w:color w:val="000000"/>
          <w:sz w:val="21"/>
        </w:rPr>
        <w:t xml:space="preserve">用扣除后的价格参与评审。</w:t>
      </w:r>
      <w:r/>
    </w:p>
    <w:p>
      <w:pPr>
        <w:ind w:left="0" w:right="0" w:firstLine="422"/>
        <w:jc w:val="both"/>
        <w:spacing w:before="0" w:after="0"/>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20"/>
        <w:jc w:val="both"/>
        <w:spacing w:before="0" w:after="0"/>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420"/>
        <w:jc w:val="both"/>
        <w:spacing w:before="0" w:after="0" w:line="85" w:lineRule="atLeast"/>
        <w:tabs>
          <w:tab w:val="left" w:pos="567" w:leader="none"/>
        </w:tabs>
        <w:rPr>
          <w:rFonts w:ascii="SimSun" w:hAnsi="SimSun" w:eastAsia="SimSun" w:cs="SimSun"/>
          <w:color w:val="000000"/>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对其提供的产品出具《关于符合本国产品标准的声明函》（样式见第三章）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r>
        <w:rPr>
          <w:rFonts w:ascii="SimSun" w:hAnsi="SimSun" w:eastAsia="SimSun" w:cs="SimSun"/>
          <w:color w:val="000000"/>
          <w:sz w:val="21"/>
        </w:rPr>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6、绿色采购</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1）根据《关于调整优化节能产品、环境标志产品政府采购执行机制的通知》（财库〔2019〕9号）等相关文件的规定，</w:t>
      </w:r>
      <w:r>
        <w:rPr>
          <w:rFonts w:ascii="SimSun" w:hAnsi="SimSun" w:eastAsia="SimSun" w:cs="SimSun"/>
          <w:b/>
          <w:color w:val="000000"/>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120" w:right="120" w:firstLine="0"/>
        <w:spacing w:before="120" w:after="120"/>
        <w:pBdr>
          <w:top w:val="none" w:color="000000" w:sz="4" w:space="0"/>
          <w:left w:val="none" w:color="000000" w:sz="4" w:space="0"/>
          <w:bottom w:val="none" w:color="000000" w:sz="4" w:space="0"/>
          <w:right w:val="none" w:color="000000" w:sz="4" w:space="0"/>
        </w:pBdr>
      </w:pPr>
      <w:r>
        <w:br w:type="page" w:clear="all"/>
      </w:r>
      <w:r/>
    </w:p>
    <w:p>
      <w:pPr>
        <w:ind w:left="0" w:right="0" w:firstLine="883"/>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第五章合同及主要条款</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南京医科大学姑苏学院精准蛋白组检测试剂</w:t>
      </w:r>
      <w:r/>
    </w:p>
    <w:p>
      <w:pPr>
        <w:ind w:left="0" w:right="0" w:firstLine="42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甲方：（买方）_________         乙方：（卖方）_________ </w:t>
      </w:r>
      <w:r/>
    </w:p>
    <w:p>
      <w:pPr>
        <w:ind w:left="0" w:right="0" w:firstLine="42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w:t>
      </w:r>
      <w:r>
        <w:rPr>
          <w:rFonts w:ascii="SimSun" w:hAnsi="SimSun" w:eastAsia="SimSun" w:cs="SimSun"/>
          <w:color w:val="000000"/>
          <w:sz w:val="21"/>
          <w:u w:val="single"/>
        </w:rPr>
        <w:t xml:space="preserve">          </w:t>
      </w:r>
      <w:r>
        <w:rPr>
          <w:rFonts w:ascii="SimSun" w:hAnsi="SimSun" w:eastAsia="SimSun" w:cs="SimSun"/>
          <w:color w:val="000000"/>
          <w:sz w:val="21"/>
        </w:rPr>
        <w:t xml:space="preserve">         法定代表人：</w:t>
      </w:r>
      <w:r>
        <w:rPr>
          <w:rFonts w:ascii="SimSun" w:hAnsi="SimSun" w:eastAsia="SimSun" w:cs="SimSun"/>
          <w:color w:val="000000"/>
          <w:sz w:val="21"/>
          <w:u w:val="single"/>
        </w:rPr>
        <w:t xml:space="preserve">           </w:t>
      </w:r>
      <w:r/>
    </w:p>
    <w:p>
      <w:pPr>
        <w:ind w:left="0" w:right="0" w:firstLine="42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统一社会信用代码：</w:t>
      </w:r>
      <w:r>
        <w:rPr>
          <w:rFonts w:ascii="SimSun" w:hAnsi="SimSun" w:eastAsia="SimSun" w:cs="SimSun"/>
          <w:color w:val="000000"/>
          <w:sz w:val="21"/>
          <w:u w:val="single"/>
        </w:rPr>
        <w:t xml:space="preserve">          </w:t>
      </w:r>
      <w:r>
        <w:rPr>
          <w:rFonts w:ascii="SimSun" w:hAnsi="SimSun" w:eastAsia="SimSun" w:cs="SimSun"/>
          <w:color w:val="000000"/>
          <w:sz w:val="21"/>
        </w:rPr>
        <w:t xml:space="preserve">   统一社会信用代码：</w:t>
      </w:r>
      <w:r>
        <w:rPr>
          <w:rFonts w:ascii="SimSun" w:hAnsi="SimSun" w:eastAsia="SimSun" w:cs="SimSun"/>
          <w:color w:val="000000"/>
          <w:sz w:val="21"/>
          <w:u w:val="single"/>
        </w:rPr>
        <w:t xml:space="preserve">         </w:t>
      </w:r>
      <w:r/>
    </w:p>
    <w:p>
      <w:pPr>
        <w:ind w:left="0" w:right="0" w:firstLine="42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w:t>
      </w:r>
      <w:r>
        <w:rPr>
          <w:rFonts w:ascii="SimSun" w:hAnsi="SimSun" w:eastAsia="SimSun" w:cs="SimSun"/>
          <w:color w:val="000000"/>
          <w:sz w:val="21"/>
          <w:u w:val="single"/>
        </w:rPr>
        <w:t xml:space="preserve">                </w:t>
      </w:r>
      <w:r>
        <w:rPr>
          <w:rFonts w:ascii="SimSun" w:hAnsi="SimSun" w:eastAsia="SimSun" w:cs="SimSun"/>
          <w:color w:val="000000"/>
          <w:sz w:val="21"/>
        </w:rPr>
        <w:t xml:space="preserve">         地址：</w:t>
      </w:r>
      <w:r>
        <w:rPr>
          <w:rFonts w:ascii="SimSun" w:hAnsi="SimSun" w:eastAsia="SimSun" w:cs="SimSun"/>
          <w:color w:val="000000"/>
          <w:sz w:val="21"/>
          <w:u w:val="single"/>
        </w:rPr>
        <w:t xml:space="preserve">                 </w:t>
      </w:r>
      <w:r/>
    </w:p>
    <w:p>
      <w:pPr>
        <w:ind w:left="0" w:right="0" w:firstLine="42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w:t>
      </w:r>
      <w:r>
        <w:rPr>
          <w:rFonts w:ascii="SimSun" w:hAnsi="SimSun" w:eastAsia="SimSun" w:cs="SimSun"/>
          <w:color w:val="000000"/>
          <w:sz w:val="21"/>
          <w:u w:val="single"/>
        </w:rPr>
        <w:t xml:space="preserve">              </w:t>
      </w:r>
      <w:r>
        <w:rPr>
          <w:rFonts w:ascii="SimSun" w:hAnsi="SimSun" w:eastAsia="SimSun" w:cs="SimSun"/>
          <w:color w:val="000000"/>
          <w:sz w:val="21"/>
        </w:rPr>
        <w:t xml:space="preserve">         联系人：</w:t>
      </w:r>
      <w:r>
        <w:rPr>
          <w:rFonts w:ascii="SimSun" w:hAnsi="SimSun" w:eastAsia="SimSun" w:cs="SimSun"/>
          <w:color w:val="000000"/>
          <w:sz w:val="21"/>
          <w:u w:val="single"/>
        </w:rPr>
        <w:t xml:space="preserve">                </w:t>
      </w:r>
      <w:r/>
    </w:p>
    <w:p>
      <w:pPr>
        <w:ind w:left="0" w:right="0" w:firstLine="42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w:t>
      </w:r>
      <w:r>
        <w:rPr>
          <w:rFonts w:ascii="SimSun" w:hAnsi="SimSun" w:eastAsia="SimSun" w:cs="SimSun"/>
          <w:color w:val="000000"/>
          <w:sz w:val="21"/>
          <w:u w:val="single"/>
        </w:rPr>
        <w:t xml:space="preserve">            </w:t>
      </w:r>
      <w:r>
        <w:rPr>
          <w:rFonts w:ascii="SimSun" w:hAnsi="SimSun" w:eastAsia="SimSun" w:cs="SimSun"/>
          <w:color w:val="000000"/>
          <w:sz w:val="21"/>
        </w:rPr>
        <w:t xml:space="preserve">         联系方式：</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420"/>
        <w:jc w:val="both"/>
        <w:spacing w:before="120" w:after="12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合同签订时间：     年    月    日  </w:t>
      </w:r>
      <w:r/>
    </w:p>
    <w:p>
      <w:pPr>
        <w:ind w:left="0" w:right="0" w:firstLine="42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甲、乙双方根据南京医科大学姑苏学院 </w:t>
      </w:r>
      <w:r>
        <w:rPr>
          <w:rFonts w:ascii="SimSun" w:hAnsi="SimSun" w:eastAsia="SimSun" w:cs="SimSun"/>
          <w:color w:val="000000"/>
          <w:sz w:val="21"/>
          <w:u w:val="single"/>
        </w:rPr>
        <w:t xml:space="preserve"> 南京医科大学姑苏学院精准蛋白组检测试剂 </w:t>
      </w:r>
      <w:r>
        <w:rPr>
          <w:rFonts w:ascii="SimSun" w:hAnsi="SimSun" w:eastAsia="SimSun" w:cs="SimSun"/>
          <w:color w:val="000000"/>
          <w:sz w:val="21"/>
        </w:rPr>
        <w:t xml:space="preserve">公开招标的结果，本着自愿及平等互利的原则，就甲方向乙方购买本合同约定的货物事宜，签署本合同。</w:t>
      </w:r>
      <w:r/>
    </w:p>
    <w:p>
      <w:pPr>
        <w:ind w:left="0" w:right="0" w:firstLine="422"/>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一、货物内容、数量及金额</w:t>
      </w:r>
      <w:r/>
    </w:p>
    <w:tbl>
      <w:tblPr>
        <w:tblStyle w:val="70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65"/>
        <w:gridCol w:w="1702"/>
        <w:gridCol w:w="2334"/>
        <w:gridCol w:w="671"/>
        <w:gridCol w:w="1337"/>
        <w:gridCol w:w="1337"/>
      </w:tblGrid>
      <w:tr>
        <w:trPr>
          <w:trHeight w:val="566"/>
        </w:trPr>
        <w:tc>
          <w:tcPr>
            <w:shd w:val="clear" w:color="e5e5e5" w:fill="e5e5e5"/>
            <w:tcBorders>
              <w:top w:val="single" w:color="000000" w:sz="18" w:space="0"/>
              <w:left w:val="single" w:color="000000" w:sz="18"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编号</w:t>
            </w:r>
            <w:r/>
          </w:p>
        </w:tc>
        <w:tc>
          <w:tcPr>
            <w:shd w:val="clear" w:color="e5e5e5" w:fill="e5e5e5"/>
            <w:tcBorders>
              <w:top w:val="single" w:color="000000" w:sz="18"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货物名称</w:t>
            </w:r>
            <w:r/>
          </w:p>
        </w:tc>
        <w:tc>
          <w:tcPr>
            <w:shd w:val="clear" w:color="e5e5e5" w:fill="e5e5e5"/>
            <w:tcBorders>
              <w:top w:val="single" w:color="000000" w:sz="18" w:space="0"/>
              <w:left w:val="none" w:color="000000" w:sz="4" w:space="0"/>
              <w:bottom w:val="single" w:color="000000" w:sz="8" w:space="0"/>
              <w:right w:val="single" w:color="000000" w:sz="8" w:space="0"/>
            </w:tcBorders>
            <w:tcMar>
              <w:left w:w="108" w:type="dxa"/>
              <w:top w:w="0" w:type="dxa"/>
              <w:right w:w="108" w:type="dxa"/>
              <w:bottom w:w="0" w:type="dxa"/>
            </w:tcMar>
            <w:tcW w:w="2334"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规 格 型 号（品牌）</w:t>
            </w:r>
            <w:r/>
          </w:p>
        </w:tc>
        <w:tc>
          <w:tcPr>
            <w:shd w:val="clear" w:color="e5e5e5" w:fill="e5e5e5"/>
            <w:tcBorders>
              <w:top w:val="single" w:color="000000" w:sz="18" w:space="0"/>
              <w:left w:val="none" w:color="000000" w:sz="4" w:space="0"/>
              <w:bottom w:val="single" w:color="000000" w:sz="8" w:space="0"/>
              <w:right w:val="single" w:color="000000" w:sz="8" w:space="0"/>
            </w:tcBorders>
            <w:tcMar>
              <w:left w:w="108" w:type="dxa"/>
              <w:top w:w="0" w:type="dxa"/>
              <w:right w:w="108" w:type="dxa"/>
              <w:bottom w:w="0" w:type="dxa"/>
            </w:tcMar>
            <w:tcW w:w="671"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数量</w:t>
            </w:r>
            <w:r/>
          </w:p>
        </w:tc>
        <w:tc>
          <w:tcPr>
            <w:shd w:val="clear" w:color="e5e5e5" w:fill="e5e5e5"/>
            <w:tcBorders>
              <w:top w:val="single" w:color="000000" w:sz="18" w:space="0"/>
              <w:left w:val="none" w:color="000000" w:sz="4" w:space="0"/>
              <w:bottom w:val="single" w:color="000000" w:sz="8" w:space="0"/>
              <w:right w:val="single" w:color="000000" w:sz="8" w:space="0"/>
            </w:tcBorders>
            <w:tcMar>
              <w:left w:w="108" w:type="dxa"/>
              <w:top w:w="0" w:type="dxa"/>
              <w:right w:w="108" w:type="dxa"/>
              <w:bottom w:w="0" w:type="dxa"/>
            </w:tcMar>
            <w:tcW w:w="1337"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单价（元）</w:t>
            </w:r>
            <w:r/>
          </w:p>
        </w:tc>
        <w:tc>
          <w:tcPr>
            <w:shd w:val="clear" w:color="e5e5e5" w:fill="e5e5e5"/>
            <w:tcBorders>
              <w:top w:val="single" w:color="000000" w:sz="18" w:space="0"/>
              <w:left w:val="none" w:color="000000" w:sz="4" w:space="0"/>
              <w:bottom w:val="single" w:color="000000" w:sz="8" w:space="0"/>
              <w:right w:val="single" w:color="000000" w:sz="18" w:space="0"/>
            </w:tcBorders>
            <w:tcMar>
              <w:left w:w="108" w:type="dxa"/>
              <w:top w:w="0" w:type="dxa"/>
              <w:right w:w="108" w:type="dxa"/>
              <w:bottom w:w="0" w:type="dxa"/>
            </w:tcMar>
            <w:tcW w:w="133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总价（元）</w:t>
            </w:r>
            <w:r/>
          </w:p>
        </w:tc>
      </w:tr>
      <w:tr>
        <w:trPr>
          <w:trHeight w:val="407"/>
        </w:trPr>
        <w:tc>
          <w:tcPr>
            <w:tcBorders>
              <w:top w:val="none" w:color="000000" w:sz="4" w:space="0"/>
              <w:left w:val="single" w:color="000000" w:sz="18"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1" w:type="dxa"/>
            <w:vAlign w:val="center"/>
            <w:textDirection w:val="lrTb"/>
            <w:noWrap w:val="false"/>
          </w:tcPr>
          <w:p>
            <w:pPr>
              <w:ind w:left="0" w:right="0" w:firstLine="103"/>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7"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18" w:space="0"/>
            </w:tcBorders>
            <w:tcMar>
              <w:left w:w="108" w:type="dxa"/>
              <w:top w:w="0" w:type="dxa"/>
              <w:right w:w="108" w:type="dxa"/>
              <w:bottom w:w="0" w:type="dxa"/>
            </w:tcMar>
            <w:tcW w:w="133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95"/>
        </w:trPr>
        <w:tc>
          <w:tcPr>
            <w:gridSpan w:val="6"/>
            <w:tcBorders>
              <w:top w:val="none" w:color="000000" w:sz="4" w:space="0"/>
              <w:left w:val="single" w:color="000000" w:sz="18" w:space="0"/>
              <w:bottom w:val="single" w:color="000000" w:sz="18" w:space="0"/>
              <w:right w:val="single" w:color="000000" w:sz="18" w:space="0"/>
            </w:tcBorders>
            <w:tcMar>
              <w:left w:w="108" w:type="dxa"/>
              <w:top w:w="0" w:type="dxa"/>
              <w:right w:w="108" w:type="dxa"/>
              <w:bottom w:w="0" w:type="dxa"/>
            </w:tcMar>
            <w:tcW w:w="82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总价（人民币大写）：                          </w:t>
            </w:r>
            <w:r>
              <w:rPr>
                <w:rFonts w:ascii="SimSun" w:hAnsi="SimSun" w:eastAsia="SimSun" w:cs="SimSun"/>
                <w:color w:val="000000"/>
                <w:sz w:val="21"/>
              </w:rPr>
              <w:t xml:space="preserve">合计（小写）：        元</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总价款涵盖货物从设计、制造、包装、仓储、运输、安装直至验收合格之前的全部含税费用，以及保修期内备品备件相关的所有含税费用。乙方依约应提供的伴随服务及售后服务所涉费用，亦包含在本合同总价款内 。</w:t>
            </w:r>
            <w:r/>
          </w:p>
        </w:tc>
      </w:tr>
    </w:tbl>
    <w:p>
      <w:pPr>
        <w:ind w:left="0" w:right="0" w:firstLine="422"/>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二、结算方式</w:t>
      </w:r>
      <w:r/>
    </w:p>
    <w:p>
      <w:pPr>
        <w:ind w:left="0" w:right="0" w:firstLine="42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2.1结算方式：</w:t>
      </w:r>
      <w:r/>
    </w:p>
    <w:p>
      <w:pPr>
        <w:ind w:left="0" w:right="0" w:firstLine="42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A【国产设备及进口设备（非免税）】：货物交付、安装、调试后一月内（遇寒暑假和法定节假日顺延）采购人支付合同总金额的90%，付款之前需收到中标单位开具的合法有效的相应全额发票。验收合格后，支付剩余合同总金额的10%。</w:t>
      </w:r>
      <w:r/>
    </w:p>
    <w:p>
      <w:pPr>
        <w:ind w:left="0" w:right="0" w:firstLine="42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B【进口设备（免税）】：</w:t>
      </w:r>
      <w:r/>
    </w:p>
    <w:p>
      <w:pPr>
        <w:ind w:left="0" w:right="0" w:firstLine="42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根据委托代理进口协议，甲方与外贸代理公司进行结算。货物交付、安装、调试且通过验收后一周内(遇寒暑假和法定节假日顺延)甲方支付合同总金额的 90%，付款之前需收到乙方开具的合法有效的相应全额发票。自验收合格次日起，甲方正常使用满3个月后的一周内，支付剩余合同总金额的10%(无息)。</w:t>
      </w:r>
      <w:r/>
    </w:p>
    <w:p>
      <w:pPr>
        <w:ind w:left="0" w:right="0" w:firstLine="42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2.2当采购数量与实际使用数量不一致时，乙方应根据实际使用量供货，合同的最终结算金额按实际使用量乘以成交单价进行计算。</w:t>
      </w:r>
      <w:r/>
    </w:p>
    <w:p>
      <w:pPr>
        <w:ind w:left="0" w:right="0" w:firstLine="42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2.3乙方指定账户信息：</w:t>
      </w:r>
      <w:r/>
    </w:p>
    <w:p>
      <w:pPr>
        <w:ind w:left="42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开户行：</w:t>
      </w:r>
      <w:r/>
    </w:p>
    <w:p>
      <w:pPr>
        <w:ind w:left="42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户名：</w:t>
      </w:r>
      <w:r/>
    </w:p>
    <w:p>
      <w:pPr>
        <w:ind w:left="42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账号：</w:t>
      </w:r>
      <w:r/>
    </w:p>
    <w:p>
      <w:pPr>
        <w:ind w:left="42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上述账户信息，如有变更，乙方应在变更前3日内通知甲方。否则，由此产生的后果由乙方承担。</w:t>
      </w:r>
      <w:r/>
    </w:p>
    <w:p>
      <w:pPr>
        <w:ind w:left="0" w:right="0" w:firstLine="422"/>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三、交付方式、时间及地点</w:t>
      </w:r>
      <w:r/>
    </w:p>
    <w:p>
      <w:pPr>
        <w:ind w:left="0" w:right="0" w:firstLine="42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3.1交付方式：</w:t>
      </w:r>
      <w:r>
        <w:rPr>
          <w:rFonts w:ascii="SimSun" w:hAnsi="SimSun" w:eastAsia="SimSun" w:cs="SimSun"/>
          <w:color w:val="000000"/>
          <w:sz w:val="21"/>
          <w:u w:val="single"/>
        </w:rPr>
        <w:t xml:space="preserve">乙方按甲方书面通知之日，运送至甲方指定地点，经甲方指定收货人书面签收，安装、调试结束，验收合格，交付采购人使用。 </w:t>
      </w:r>
      <w:r/>
    </w:p>
    <w:p>
      <w:pPr>
        <w:ind w:left="0" w:right="0" w:firstLine="42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3.1交付时间：___________________</w:t>
      </w:r>
      <w:r/>
    </w:p>
    <w:p>
      <w:pPr>
        <w:ind w:left="0" w:right="0" w:firstLine="42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3.2交付地点：___________________</w:t>
      </w:r>
      <w:r/>
    </w:p>
    <w:p>
      <w:pPr>
        <w:ind w:left="0" w:right="0" w:firstLine="422"/>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四、货物包装、发运及运输</w:t>
      </w:r>
      <w:r/>
    </w:p>
    <w:p>
      <w:pPr>
        <w:ind w:left="0" w:right="0" w:firstLine="42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 乙方应在货物发运前根据运输距离、防潮、防震、防锈和防破损装卸等要求进行相应的包装，以保证货物安全运达甲方指定地点。</w:t>
      </w:r>
      <w:r/>
    </w:p>
    <w:p>
      <w:pPr>
        <w:ind w:left="0" w:right="0" w:firstLine="42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 使用说明书、质量检验证明书、随配附件和工具以及清单一并附于货物内。</w:t>
      </w:r>
      <w:r/>
    </w:p>
    <w:p>
      <w:pPr>
        <w:ind w:left="0" w:right="0" w:firstLine="42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 乙方在货物发运手续办理完毕后24小时内或货到甲方48小时前通知甲方，以准备接货。</w:t>
      </w:r>
      <w:r/>
    </w:p>
    <w:p>
      <w:pPr>
        <w:ind w:left="0" w:right="0" w:firstLine="42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 货物在交付甲方前发生的风险均由乙方负责。</w:t>
      </w:r>
      <w:r/>
    </w:p>
    <w:p>
      <w:pPr>
        <w:ind w:left="0" w:right="0" w:firstLine="42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w:t>
      </w:r>
      <w:r>
        <w:rPr>
          <w:rFonts w:ascii="SimSun" w:hAnsi="SimSun" w:eastAsia="SimSun" w:cs="SimSun"/>
          <w:b/>
          <w:color w:val="000000"/>
          <w:sz w:val="21"/>
        </w:rPr>
        <w:t xml:space="preserve">质量保证及售后服务</w:t>
      </w:r>
      <w:r/>
    </w:p>
    <w:p>
      <w:pPr>
        <w:ind w:left="0" w:right="0" w:firstLine="42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 乙方应按招标文件规定的货物性能、技术要求、质量标准向甲方提供全新货物，乙方所供货物应符合国家相关的法律规定、技术规格和质量标准；如是进口商品，则需是获得国家相关部门颁布安全许可证的出厂原装合格产品。</w:t>
      </w:r>
      <w:r/>
    </w:p>
    <w:p>
      <w:pPr>
        <w:ind w:left="0" w:right="0" w:firstLine="42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 乙方提供的货物在质保期内因货物本身的质量问题发生故障，乙方应负责免费更换，并承担所发生的全部费用。更换后仍达不到技术要求的，乙方应退还甲方支付的合同款，同时应承担该货物的直接费用（运输、保险、检验、货款利息及银行手续费等）。</w:t>
      </w:r>
      <w:r/>
    </w:p>
    <w:p>
      <w:pPr>
        <w:ind w:left="0" w:right="0" w:firstLine="42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5.3上述货物的质保期</w:t>
      </w:r>
      <w:r>
        <w:rPr>
          <w:rFonts w:ascii="SimSun" w:hAnsi="SimSun" w:eastAsia="SimSun" w:cs="SimSun"/>
          <w:color w:val="000000"/>
          <w:sz w:val="21"/>
          <w:u w:val="single"/>
        </w:rPr>
        <w:t xml:space="preserve">      </w:t>
      </w:r>
      <w:r>
        <w:rPr>
          <w:rFonts w:ascii="SimSun" w:hAnsi="SimSun" w:eastAsia="SimSun" w:cs="SimSun"/>
          <w:color w:val="000000"/>
          <w:sz w:val="21"/>
        </w:rPr>
        <w:t xml:space="preserve">年。（自交货验收合格次日起计算），因人为因素出现的故障不在免费保修范围内。</w:t>
      </w:r>
      <w:r/>
    </w:p>
    <w:p>
      <w:pPr>
        <w:ind w:left="0" w:right="0" w:firstLine="42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5.4在质保期内，如在使用过程中发生质量问题，乙方在接到甲方通知后在_________小时内响应，并在</w:t>
      </w:r>
      <w:r>
        <w:rPr>
          <w:rFonts w:ascii="SimSun" w:hAnsi="SimSun" w:eastAsia="SimSun" w:cs="SimSun"/>
          <w:color w:val="000000"/>
          <w:sz w:val="21"/>
          <w:u w:val="single"/>
        </w:rPr>
        <w:t xml:space="preserve">      </w:t>
      </w:r>
      <w:r>
        <w:rPr>
          <w:rFonts w:ascii="SimSun" w:hAnsi="SimSun" w:eastAsia="SimSun" w:cs="SimSun"/>
          <w:color w:val="000000"/>
          <w:sz w:val="21"/>
        </w:rPr>
        <w:t xml:space="preserve">小时内赶到甲方现场，免费予以排除故障、修复或者更换零部件。如未及时维修的，甲方委托他人维修，维修费从合同款中扣除或由乙方承担。</w:t>
      </w:r>
      <w:r/>
    </w:p>
    <w:p>
      <w:pPr>
        <w:ind w:left="0" w:right="0" w:firstLine="42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5.5 在质保期内，乙方应对货物出现的质量及安全问题负责处理解决并承担一切费用。</w:t>
      </w:r>
      <w:r/>
    </w:p>
    <w:p>
      <w:pPr>
        <w:ind w:left="0" w:right="0" w:firstLine="315"/>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5.6 质保期满后，如设备出现故障，乙方在接到甲方通知后，仍应在上述时间内响应，派人赶到甲方现场，免费帮助甲方排除故障、修复或者更换零部件；若需购买零部件，乙方可酌情收取成本费，但需免收上门费、人工费等费用。</w:t>
      </w:r>
      <w:r/>
    </w:p>
    <w:p>
      <w:pPr>
        <w:ind w:left="0" w:right="0" w:firstLine="422"/>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六、调试和验收</w:t>
      </w:r>
      <w:r/>
    </w:p>
    <w:p>
      <w:pPr>
        <w:ind w:left="0" w:right="0" w:firstLine="42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 乙方交货前应对货物全面检查并对验收文件进行整理，列出清单提交甲方，检验的结果亦应随货物交甲方。</w:t>
      </w:r>
      <w:r/>
    </w:p>
    <w:p>
      <w:pPr>
        <w:ind w:left="0" w:right="0" w:firstLine="42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 甲方对乙方提供的货物在使用前进行调试时，乙方需负责安装并培训甲方的使用操作人员，并协助甲方一起调试，直到符合技术要求。</w:t>
      </w:r>
      <w:r/>
    </w:p>
    <w:p>
      <w:pPr>
        <w:ind w:left="0" w:right="0" w:firstLine="42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 在安装、调试和验收过程中，如发现有漏件、缺件，乙方应无条件、无偿补齐，所发生的一切费用，视为已包含在投标时的投标报价中，且并不因此而影响交付甲方使用的时间。</w:t>
      </w:r>
      <w:r/>
    </w:p>
    <w:p>
      <w:pPr>
        <w:ind w:left="0" w:right="0" w:firstLine="42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6.4 甲方对乙方提交的货物依据招标文件上的技术规格要求和国家有关质量标准进行现场初步验收。外观、说明书符合招标文件技术要求的，给予签收，初步验收不合格的不予签收。货到后，甲方需在10个工作日内完成初步验收。</w:t>
      </w:r>
      <w:r/>
    </w:p>
    <w:p>
      <w:pPr>
        <w:ind w:left="0" w:right="0" w:firstLine="42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6.5 设备、材料安装、调试结束，甲、乙双方派员共同验收，达到验收标准则验收合格。验收完毕后出具验收结果报告并经双方签字确认；验收相关费用由乙方承担。</w:t>
      </w:r>
      <w:r/>
    </w:p>
    <w:p>
      <w:pPr>
        <w:ind w:left="0" w:right="0" w:firstLine="42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6.6 对技术复杂的货物，甲方可聘请国家认可的专业检测机构参与初步验收及最终验收，专业检测机构出具的质量检测报告作为甲方判断乙方的货物能否通过验收的条件之一，无论是否通过验收，相关检测费用均由乙方承担。</w:t>
      </w:r>
      <w:r/>
    </w:p>
    <w:p>
      <w:pPr>
        <w:ind w:left="0" w:right="0" w:firstLine="422"/>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七、技术资料</w:t>
      </w:r>
      <w:r/>
    </w:p>
    <w:p>
      <w:pPr>
        <w:ind w:left="0" w:right="0" w:firstLine="42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7.1乙方应按招标文件规定的时间向甲方提供使用货物的有关技术资料。</w:t>
      </w:r>
      <w:r/>
    </w:p>
    <w:p>
      <w:pPr>
        <w:ind w:left="0" w:right="0" w:firstLine="42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 未经甲方书面同意，乙方不得将由甲方提供的有关合同或任何合同条文、规格、计划、图纸、样品或资料提供给与履行本合同无关的任何人。即使向履行本合同有关的人员提供，也应注意保密并限于履行合同的必需范围。</w:t>
      </w:r>
      <w:r/>
    </w:p>
    <w:p>
      <w:pPr>
        <w:ind w:left="0" w:right="0" w:firstLine="422"/>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八、知识产权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应保证甲方在使用、处置本合同项下的货物时不会侵犯任何第三方的知识产权包括但不限于专利权、著作权、商标权。若涉嫌侵权，甲方因此而产生的全部损失均由乙方承担，甲方的损失包括但不限于甲方支付的赔偿费用，为提起或应付诉讼或仲裁而支出的诉讼费/仲裁费、律师费、调查费、差旅费。</w:t>
      </w:r>
      <w:r/>
    </w:p>
    <w:p>
      <w:pPr>
        <w:ind w:left="0" w:right="0" w:firstLine="422"/>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九、违约责任</w:t>
      </w:r>
      <w:r/>
    </w:p>
    <w:p>
      <w:pPr>
        <w:ind w:left="0" w:right="0" w:firstLine="42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 甲方无正当理由拒收货物的，甲方向乙方偿付拒收货款总值的万分之五违约金。甲方未按合同规定的时间和要求向乙方提供相关安装条件，乙方交付时间顺延。</w:t>
      </w:r>
      <w:r/>
    </w:p>
    <w:p>
      <w:pPr>
        <w:ind w:left="0" w:right="0" w:firstLine="42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9.2 甲方无故迟延支付货款的,甲方应按逾期付款总额每日万分之五向乙方支付违约金。</w:t>
      </w:r>
      <w:r/>
    </w:p>
    <w:p>
      <w:pPr>
        <w:ind w:left="0" w:right="0" w:firstLine="42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9.3 乙方逾期交付货物的，乙方应按逾期交货总额每日万分之五向甲方支付违约金。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 </w:t>
      </w:r>
      <w:r/>
    </w:p>
    <w:p>
      <w:pPr>
        <w:ind w:left="0" w:right="0" w:firstLine="42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9.4 乙方供给甲方的设备、材料及乙方自己的施工用具，进入甲方工地现场后的保管，由乙方负责，乙方在甲方工地现场安装、调试、验收人员的安全、保险、食宿和交通由乙方全权负责。</w:t>
      </w:r>
      <w:r/>
    </w:p>
    <w:p>
      <w:pPr>
        <w:ind w:left="0" w:right="0" w:firstLine="42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9.5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left="0" w:right="0" w:firstLine="42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9.6 如未能通过验收，乙方所供货物应在验收后一周内运离安装地点，所需费用由乙方承担，如乙方未在验收后一个月内运离，视为乙方放弃该货物，甲方有权自行处置（包括废物处理），同时，乙方还需支付甲方总货款的10%作为违约金。</w:t>
      </w:r>
      <w:r/>
    </w:p>
    <w:p>
      <w:pPr>
        <w:ind w:left="0" w:right="0" w:firstLine="42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9.7 本合同所有货物的制造及安装，都必须由乙方自己或投标文件中明确的单位承担，不得分包或者转包给其他单位，否则，甲方有权解除本合同，合同解除后，乙方还应向甲方支付合同总值5%的违约金。 </w:t>
      </w:r>
      <w:r/>
    </w:p>
    <w:p>
      <w:pPr>
        <w:ind w:left="0" w:right="0" w:firstLine="42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9.8 乙方履行义务不符合合同约定时，甲方有权扣减本合同总金额的10%的货款，尾款不足10%的，乙方应当补足。</w:t>
      </w:r>
      <w:r/>
    </w:p>
    <w:p>
      <w:pPr>
        <w:ind w:left="0" w:right="0" w:firstLine="422"/>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十、不可抗力事件处理</w:t>
      </w:r>
      <w:r/>
    </w:p>
    <w:p>
      <w:pPr>
        <w:ind w:left="0" w:right="0" w:firstLine="42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 在合同有效期内，任何一方因不可抗力事件导致不能履行合同，则合同履行期可延长，其延长期与不可抗力影响期相同。</w:t>
      </w:r>
      <w:r/>
    </w:p>
    <w:p>
      <w:pPr>
        <w:ind w:left="0" w:right="0" w:firstLine="42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10.2 不可抗力事件发生后，应立即通知对方，并寄送有关权威机构出具的证明。</w:t>
      </w:r>
      <w:r/>
    </w:p>
    <w:p>
      <w:pPr>
        <w:ind w:left="0" w:right="0" w:firstLine="42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10.3 不可抗力事件延续30天以上，双方应通过友好协商，确定是否继续履行合同。</w:t>
      </w:r>
      <w:r/>
    </w:p>
    <w:p>
      <w:pPr>
        <w:ind w:left="0" w:right="0" w:firstLine="422"/>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十一、诉讼</w:t>
      </w:r>
      <w:r/>
    </w:p>
    <w:p>
      <w:pPr>
        <w:ind w:left="0" w:right="0" w:firstLine="42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双方在执行合同中所发生的一切争议，应通过协商解决。如协商不成，双方均应向甲方所在地人民法院提起诉讼。</w:t>
      </w:r>
      <w:r/>
    </w:p>
    <w:p>
      <w:pPr>
        <w:ind w:left="0" w:right="0" w:firstLine="422"/>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十二、合同生效及其它</w:t>
      </w:r>
      <w:r/>
    </w:p>
    <w:p>
      <w:pPr>
        <w:ind w:left="0" w:right="0" w:firstLine="42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12.1招投标文件作为合同的附件，与本合同具有同等法律效力。合同经双方法定代表人或授权委托代表人签字、盖章后生效。</w:t>
      </w:r>
      <w:r/>
    </w:p>
    <w:p>
      <w:pPr>
        <w:ind w:left="0" w:right="0" w:firstLine="42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12.2本合同未尽事宜，遵照《中华人民共和国民法典》有关条文执行。</w:t>
      </w:r>
      <w:r/>
    </w:p>
    <w:p>
      <w:pPr>
        <w:ind w:left="0" w:right="0" w:firstLine="42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 本合同正本一式</w:t>
      </w:r>
      <w:r>
        <w:rPr>
          <w:rFonts w:ascii="SimSun" w:hAnsi="SimSun" w:eastAsia="SimSun" w:cs="SimSun"/>
          <w:color w:val="000000"/>
          <w:sz w:val="21"/>
          <w:u w:val="single"/>
        </w:rPr>
        <w:t xml:space="preserve">     </w:t>
      </w:r>
      <w:r>
        <w:rPr>
          <w:rFonts w:ascii="SimSun" w:hAnsi="SimSun" w:eastAsia="SimSun" w:cs="SimSun"/>
          <w:color w:val="000000"/>
          <w:sz w:val="21"/>
        </w:rPr>
        <w:t xml:space="preserve">份，甲方</w:t>
      </w:r>
      <w:r>
        <w:rPr>
          <w:rFonts w:ascii="SimSun" w:hAnsi="SimSun" w:eastAsia="SimSun" w:cs="SimSun"/>
          <w:color w:val="000000"/>
          <w:sz w:val="21"/>
          <w:u w:val="single"/>
        </w:rPr>
        <w:t xml:space="preserve">     </w:t>
      </w:r>
      <w:r>
        <w:rPr>
          <w:rFonts w:ascii="SimSun" w:hAnsi="SimSun" w:eastAsia="SimSun" w:cs="SimSun"/>
          <w:color w:val="000000"/>
          <w:sz w:val="21"/>
        </w:rPr>
        <w:t xml:space="preserve">份，乙方</w:t>
      </w:r>
      <w:r>
        <w:rPr>
          <w:rFonts w:ascii="SimSun" w:hAnsi="SimSun" w:eastAsia="SimSun" w:cs="SimSun"/>
          <w:color w:val="000000"/>
          <w:sz w:val="21"/>
          <w:u w:val="single"/>
        </w:rPr>
        <w:t xml:space="preserve">    </w:t>
      </w:r>
      <w:r>
        <w:rPr>
          <w:rFonts w:ascii="SimSun" w:hAnsi="SimSun" w:eastAsia="SimSun" w:cs="SimSun"/>
          <w:color w:val="000000"/>
          <w:sz w:val="21"/>
        </w:rPr>
        <w:t xml:space="preserve">份，具有同等法律效力。</w:t>
      </w:r>
      <w:r/>
    </w:p>
    <w:p>
      <w:pPr>
        <w:ind w:left="0" w:right="0" w:firstLine="42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 其他：</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420"/>
        <w:jc w:val="both"/>
        <w:spacing w:before="12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（以下无正文，为签字盖章处）</w:t>
      </w:r>
      <w:r/>
    </w:p>
    <w:p>
      <w:pPr>
        <w:ind w:left="0" w:right="0" w:firstLine="42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120" w:after="12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120" w:after="12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 南京医科大学姑苏学院（盖章）         乙方： （盖章）</w:t>
      </w:r>
      <w:r/>
    </w:p>
    <w:p>
      <w:pPr>
        <w:ind w:left="0" w:right="0" w:firstLine="0"/>
        <w:jc w:val="both"/>
        <w:spacing w:before="120" w:after="12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地址：苏州市姑苏区十梓街458号              地址： </w:t>
      </w:r>
      <w:r/>
    </w:p>
    <w:p>
      <w:pPr>
        <w:ind w:left="0" w:right="0" w:firstLine="0"/>
        <w:jc w:val="both"/>
        <w:spacing w:before="120" w:after="12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法定代表人/授权代表：（签字）                法定代表人/授权代表：（签字）</w:t>
      </w:r>
      <w:r/>
    </w:p>
    <w:p>
      <w:pPr>
        <w:ind w:left="0" w:right="0" w:firstLine="885"/>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120" w:right="120" w:firstLine="0"/>
        <w:spacing w:before="120" w:after="120"/>
        <w:tabs>
          <w:tab w:val="left" w:pos="8302" w:leader="none"/>
        </w:tabs>
        <w:pBdr>
          <w:top w:val="none" w:color="000000" w:sz="4" w:space="0"/>
          <w:left w:val="none" w:color="000000" w:sz="4" w:space="0"/>
          <w:bottom w:val="none" w:color="000000" w:sz="4" w:space="0"/>
          <w:right w:val="none" w:color="000000" w:sz="4" w:space="0"/>
        </w:pBdr>
      </w:pPr>
      <w:r>
        <w:br w:type="page" w:clear="all"/>
      </w:r>
      <w:r/>
    </w:p>
    <w:p>
      <w:pPr>
        <w:ind w:left="0" w:right="0" w:firstLine="640"/>
        <w:jc w:val="center"/>
        <w:spacing w:before="240" w:after="240" w:line="85" w:lineRule="atLeast"/>
        <w:tabs>
          <w:tab w:val="left" w:pos="830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第七章</w:t>
      </w:r>
      <w:r>
        <w:rPr>
          <w:rFonts w:ascii="Calibri" w:hAnsi="Calibri" w:eastAsia="Calibri" w:cs="Calibri"/>
          <w:b/>
          <w:color w:val="000000"/>
          <w:sz w:val="32"/>
        </w:rPr>
        <w:t xml:space="preserve">  </w:t>
      </w:r>
      <w:r>
        <w:rPr>
          <w:rFonts w:ascii="SimSun" w:hAnsi="SimSun" w:eastAsia="SimSun" w:cs="SimSun"/>
          <w:b/>
          <w:color w:val="000000"/>
          <w:sz w:val="32"/>
        </w:rPr>
        <w:t xml:space="preserve">评标办法及评分标准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一、评标办法：</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1．本次招标评标采用综合评分法，即在响应招标文件实质性要求前提下，按照招标文件中规定的评分标准和各项因素进行综合评审后，以评标总得分最高的投标单位作为中标单位。</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2．评标委员会各成员独立对每个进入打分程序的有效投标单位的标书技术和资质部分以打分的形式进行评审和评价。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3．对评委的评分(除价格分外)进行统计汇总，直接算术平均计算得分，计算出每个投标单位的得分（四舍五入保留两位小数），加上价格得分即为每个投标单位的综合得分（四舍五入保留两位小数）。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4．如出现评标总得分最高的投标单位有两个或两个以上的，以实际投标报价较低者优先作为中标单位，如果实际投标报价也相同的，则由评标委员会以抽签方式确定中标单位。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rPr>
          <w:rFonts w:ascii="SimSun" w:hAnsi="SimSun" w:eastAsia="SimSun" w:cs="SimSun"/>
          <w:b/>
          <w:color w:val="000000"/>
          <w:sz w:val="21"/>
        </w:rPr>
        <w:t xml:space="preserve">本项目核心产品为</w:t>
      </w:r>
      <w:r>
        <w:rPr>
          <w:rFonts w:ascii="SimSun" w:hAnsi="SimSun" w:eastAsia="SimSun" w:cs="SimSun"/>
          <w:b/>
          <w:color w:val="000000"/>
          <w:sz w:val="21"/>
          <w:u w:val="single"/>
        </w:rPr>
        <w:t xml:space="preserve">精准蛋白组检测试剂</w:t>
      </w:r>
      <w:r>
        <w:rPr>
          <w:rFonts w:ascii="SimSun" w:hAnsi="SimSun" w:eastAsia="SimSun" w:cs="SimSun"/>
          <w:b/>
          <w:color w:val="000000"/>
          <w:sz w:val="21"/>
        </w:rPr>
        <w:t xml:space="preserve">。</w:t>
      </w:r>
      <w:r>
        <w:rPr>
          <w:rFonts w:ascii="SimSun" w:hAnsi="SimSun" w:eastAsia="SimSun" w:cs="SimSun"/>
          <w:color w:val="000000"/>
          <w:sz w:val="21"/>
        </w:rPr>
        <w:t xml:space="preserve">使用综合评分法的采购项目，提供相同品牌产品且通过资格审查、符合性审查的不同投标人参加同一合同项下投标的，按一家投标人计算，评审后得分最高的同品牌投标人获得中标人推荐资格</w:t>
      </w:r>
      <w:r>
        <w:rPr>
          <w:rFonts w:ascii="SimSun" w:hAnsi="SimSun" w:eastAsia="SimSun" w:cs="SimSun"/>
          <w:b/>
          <w:color w:val="000000"/>
          <w:sz w:val="21"/>
        </w:rPr>
        <w:t xml:space="preserve">；评审得分相同的，由报价较低的投标人获得中标人推荐资格，如报价也相同，则采取随机抽取方式确定，其他同品牌投标人不作为中标候选人</w:t>
      </w:r>
      <w:r>
        <w:rPr>
          <w:rFonts w:ascii="SimSun" w:hAnsi="SimSun" w:eastAsia="SimSun" w:cs="SimSun"/>
          <w:color w:val="000000"/>
          <w:sz w:val="21"/>
        </w:rPr>
        <w:t xml:space="preserve">。</w:t>
      </w:r>
      <w:r>
        <w:rPr>
          <w:rFonts w:ascii="SimSun" w:hAnsi="SimSun" w:eastAsia="SimSun" w:cs="SimSun"/>
          <w:b/>
          <w:color w:val="000000"/>
          <w:sz w:val="21"/>
        </w:rPr>
        <w:t xml:space="preserve">非单一产品采购项目，多家投标人提供的核心产品品牌相同的，按照此规定处理。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6.</w:t>
      </w:r>
      <w:r>
        <w:rPr>
          <w:rFonts w:ascii="SimSun" w:hAnsi="SimSun" w:eastAsia="SimSun" w:cs="SimSun"/>
          <w:b/>
          <w:color w:val="000000"/>
          <w:sz w:val="21"/>
        </w:rPr>
        <w:t xml:space="preserve">评标委员会启动异常低价投标审查的情形和具体要求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（1）评标过程中出现下列情形之一的，评标委员会应当启动异常低价投标审查程序：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1）投标报价低于招标项目预算50%的，即投标报价&lt;招标项目预算×50%；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2）投标报价低于招标项目最高限价45%的，即投标报价&lt;招标项目最高限价×45% ；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3）评标委员会认定的投标人报价过低、有可能影响产品质量或者不能诚信履约的其他情形。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启动异常低价投标审查后，评标委员会应当要求相关投标人在评标现场合理的时间内，提供项目具体成本测算等与报价合理性相关的书面说明及相关证明材料，对投标价格作出解释，由评标委员会结合同类产品在主要电商平台的价格、该行业当地薪资水平等情况，依据专业经验对投标人报价合理性进行判断。投标人不提供书面说明、证明材料，或者提供的书面说明、证明材料不能证明其报价合理性的，评标委员会应当将其作为无效投标处理。审查相关情况应当在评审报告中进行记录。</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二、评分标准：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（一）价格分：最高为30分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第一步：投标总报价低于或等于采购预算价格的，为有效投标报价。超采购预算的投标报价为无效投标报价。无效投标报价的投标文件不得中标。</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步：价格分采用低价优先法计算，即满足招标文件要求且投标价格最低的投标报价为评标基准价（报价按评审价格调整后的价格为最低价的作为评标基准价，中标金额则以实际投标报价为准），其价格分为满分。其他投标人的价格分统一按照下列公式计算：</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投标报价得分=（评标基准价/投标报价）*价格权值*100，小数点后保留两位（价格权值为30%）</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（二）投标设备的技术与质量（最高为42分）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根据各投标文件对技术要求的响应情况，以下均需提供技术支撑材料</w:t>
      </w:r>
      <w:r>
        <w:rPr>
          <w:rFonts w:ascii="SimSun" w:hAnsi="SimSun" w:eastAsia="SimSun" w:cs="SimSun"/>
          <w:b/>
          <w:color w:val="000000"/>
          <w:sz w:val="21"/>
        </w:rPr>
        <w:t xml:space="preserve">（评分所要求的相关证明资料或明确说明该技术内容的公开发行的产品彩页、产品说明书或第三方检测机构的检测报告等，自拟无效</w:t>
      </w:r>
      <w:r>
        <w:rPr>
          <w:rFonts w:ascii="SimSun" w:hAnsi="SimSun" w:eastAsia="SimSun" w:cs="SimSun"/>
          <w:color w:val="000000"/>
          <w:sz w:val="21"/>
        </w:rPr>
        <w:t xml:space="preserve">），不提供不得分。本项最高得分为42分。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1．支持多种样本类型，得10分，不支持不得分。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2．试剂盒每次检测不少于88个样本，每周检测不少于500个血浆样本得5分，达不到得2分。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3．样本需求不多于20ul得3分，样本需求低于8ul得6分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4．检测灵敏度：10ng/ml得3分，小于pg/ml得5分，达到fg/ml得8分。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5．动态范围：覆盖6个log，得3分；覆盖8个log，得5分；覆盖10个log（fg/ml-ug/ml）的，得8分。（需提供有效质量控制验证（质控报告等证明）作为支持，不提供不得分）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6.检测兼容性：可支持在同一平台完成基因和蛋白组的检测，支持NGS二代测序技术作为检测方法的得5分，不支持二代测序技术作为检测方法的得2分。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（三）项目实施方案和验收方案等（最高得</w:t>
      </w:r>
      <w:r>
        <w:rPr>
          <w:rFonts w:ascii="Times New Roman" w:hAnsi="Times New Roman" w:eastAsia="Times New Roman" w:cs="Times New Roman"/>
          <w:b/>
          <w:color w:val="000000"/>
          <w:sz w:val="21"/>
        </w:rPr>
        <w:t xml:space="preserve">10</w:t>
      </w:r>
      <w:r>
        <w:rPr>
          <w:rFonts w:ascii="SimSun" w:hAnsi="SimSun" w:eastAsia="SimSun" w:cs="SimSun"/>
          <w:b/>
          <w:color w:val="000000"/>
          <w:sz w:val="21"/>
        </w:rPr>
        <w:t xml:space="preserve">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1.项目实施方案（5分）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须提供本项目的工作实施方案。方案阐述详尽、合理，操作便利，具有个性化特点，针对性强，可实施性强的得5分；方案阐述较详尽、合理，操作较便利，个性化特点较强，针对性较强，可实施性较强的得3分；方案阐述简单，勉强符合项目要求，可实施性一般的得1分；未提供的不得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2.项目验收方案（5分）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须提供本项目的项目验收方案。方案阐述详尽、合理，操作便利，具有个性化特点，针对性强，可实施性强的得5分；方案阐述较详尽、合理，操作较便利，个性化特点较强，针对性较强，可实施性较强的得3分；方案阐述简单，勉强符合项目要求，可实施性一般的得1分；未提供的不得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（四）技术服务及售后服务方案（最高为10分）</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1.售后现场指导及培训方案：（5分）</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须提供本项目的售后现场指导及培训方案。方案阐述详尽、合理，操作便利，具有个性化特点，针对性强，可实施性强的得5分；方案阐述较详尽、合理，操作较便利，个性化特点较强，针对性较强，可实施性较强的得3分；方案阐述简单，勉强符合项目要求，可实施性一般的得1分；未提供的不得分。</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2.服务团队：（5分）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服务团队人员配备合理，技术力量强，经验丰富并有长期技术支持、维护、服务的计划和措施</w:t>
      </w:r>
      <w:r>
        <w:rPr>
          <w:rFonts w:ascii="SimSun" w:hAnsi="SimSun" w:eastAsia="SimSun" w:cs="SimSun"/>
          <w:color w:val="000000"/>
          <w:sz w:val="21"/>
        </w:rPr>
        <w:t xml:space="preserve">得</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分</w:t>
      </w:r>
      <w:r>
        <w:rPr>
          <w:rFonts w:ascii="SimSun" w:hAnsi="SimSun" w:eastAsia="SimSun" w:cs="SimSun"/>
          <w:color w:val="000000"/>
          <w:sz w:val="22"/>
        </w:rPr>
        <w:t xml:space="preserve">；服务团队人员配备合理性一般，技术力量一般，经验一般的得3分；服务团队人员配备合理性较差，技术力量较差的得1分；未提供的不得分。</w:t>
      </w:r>
      <w:r>
        <w:rPr>
          <w:rFonts w:ascii="SimSun" w:hAnsi="SimSun" w:eastAsia="SimSun" w:cs="SimSun"/>
          <w:color w:val="000000"/>
          <w:sz w:val="21"/>
        </w:rPr>
        <w:t xml:space="preserve">（若为进口产品，原厂在中国境内需设有办公室及</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位以上应用专家团队，同时需提供办公地址认证材料、应用专家名单及其原厂工作邮箱地址以备核验）</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（五）投标人业绩（最高为</w:t>
      </w:r>
      <w:r>
        <w:rPr>
          <w:rFonts w:ascii="Times New Roman" w:hAnsi="Times New Roman" w:eastAsia="Times New Roman" w:cs="Times New Roman"/>
          <w:b/>
          <w:color w:val="000000"/>
          <w:sz w:val="21"/>
        </w:rPr>
        <w:t xml:space="preserve">8</w:t>
      </w:r>
      <w:r>
        <w:rPr>
          <w:rFonts w:ascii="SimSun" w:hAnsi="SimSun" w:eastAsia="SimSun" w:cs="SimSun"/>
          <w:b/>
          <w:color w:val="000000"/>
          <w:sz w:val="21"/>
        </w:rPr>
        <w:t xml:space="preserve">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所投同类产品近3年（2022年1月1日至今）在国内的销售业绩，提供国内客户相关试剂业绩合同（同一客户的不同合同不重复计分）每提供1个业绩得4分，本项最多得8分。（提供合同复印件，须包含签订时间、核心产品的品牌型号等要素，原件备查）。</w:t>
      </w:r>
      <w:r/>
    </w:p>
    <w:p>
      <w:pPr>
        <w:ind w:left="0" w:right="0" w:firstLine="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rPr>
          <w:rFonts w:ascii="SimSun" w:hAnsi="SimSun" w:eastAsia="SimSun" w:cs="SimSun"/>
          <w:color w:val="000000"/>
          <w:sz w:val="21"/>
        </w:rPr>
        <w:t xml:space="preserve">1.付款步骤、交货期限如有负偏离的不得中标。</w:t>
      </w:r>
      <w:r/>
    </w:p>
    <w:p>
      <w:pPr>
        <w:ind w:left="0" w:right="0" w:firstLine="63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针对评分标准中评分的每一条，投标单位在投标文件中应提供清晰明了的相关资料并做出相应说明供评委评判，不提供相关资料或提供的资料不清晰或评委无法判断是否满足评分要求的视为不具备该项得分的条件。</w:t>
      </w:r>
      <w:r/>
    </w:p>
    <w:p>
      <w:pPr>
        <w:ind w:left="0" w:right="0" w:firstLine="63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3.要求加盖公章的，电子投标文件中可用电子签章（除特别说明外）。</w:t>
      </w:r>
      <w:r/>
    </w:p>
    <w:p>
      <w:pPr>
        <w:ind w:left="0" w:right="0" w:firstLine="63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投标单位必须保证全部投标资料的真实性，采购人有权在采购的任何阶段进行调查和核实，如有虚假或对招标文件所要求说明的情况故意隐瞒或虚报，视为不实质性响应招标文件，为无效投标。已中标的将取消中标资格，并按《中华人民共和国政府采购法》第七十七条“提供虚假材料谋取中标、成交”相关处理办法处理。</w:t>
      </w:r>
      <w:r/>
    </w:p>
    <w:p>
      <w:pPr>
        <w:ind w:left="0" w:right="0" w:firstLine="422"/>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（全文完）</w:t>
      </w:r>
      <w:r/>
    </w:p>
    <w:p>
      <w:r/>
      <w:r/>
    </w:p>
    <w:sectPr>
      <w:headerReference w:type="default" r:id="rId9"/>
      <w:footerReference w:type="default" r:id="rId10"/>
      <w:footnotePr/>
      <w:endnotePr/>
      <w:type w:val="nextPage"/>
      <w:pgSz w:w="11906" w:h="16838" w:orient="portrait"/>
      <w:pgMar w:top="1440" w:right="1417" w:bottom="1440" w:left="1417" w:header="964"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Wingdings">
    <w:panose1 w:val="05000000000000000000"/>
  </w:font>
  <w:font w:name="等线">
    <w:panose1 w:val="02010600030101010101"/>
  </w:font>
  <w:font w:name="Cambria">
    <w:panose1 w:val="02040503050406030204"/>
  </w:font>
  <w:font w:name="微软雅黑">
    <w:panose1 w:val="020B0503020204020204"/>
  </w:font>
  <w:font w:name="Calibri">
    <w:panose1 w:val="020F0502020204030204"/>
  </w:font>
  <w:font w:name="Courier New">
    <w:panose1 w:val="02070309020205020404"/>
  </w:font>
  <w:font w:name="仿宋_GB2312">
    <w:panose1 w:val="02010609060101010101"/>
  </w:font>
  <w:font w:name="Consolas">
    <w:panose1 w:val="020B0609020204030204"/>
  </w:font>
  <w:font w:name="楷体_GB2312">
    <w:panose1 w:val="02010609060101010101"/>
  </w:font>
  <w:font w:name="Arial">
    <w:panose1 w:val="020B0604020202020204"/>
  </w:font>
  <w:font w:name="SimSun">
    <w:panose1 w:val="02010600030101010101"/>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ind w:firstLine="361"/>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47110" cy="284773"/>
              <wp:effectExtent l="6350" t="6350" r="6350" b="6350"/>
              <wp:wrapNone/>
              <wp:docPr id="1" name=""/>
              <wp:cNvGraphicFramePr/>
              <a:graphic xmlns:a="http://schemas.openxmlformats.org/drawingml/2006/main">
                <a:graphicData uri="http://schemas.microsoft.com/office/word/2010/wordprocessingShape">
                  <wps:wsp>
                    <wps:cNvPr id="0" name=""/>
                    <wps:cNvSpPr txBox="1"/>
                    <wps:spPr bwMode="auto">
                      <a:xfrm flipH="0" flipV="0">
                        <a:off x="0" y="0"/>
                        <a:ext cx="147110" cy="284772"/>
                      </a:xfrm>
                      <a:prstGeom prst="rect">
                        <a:avLst/>
                      </a:prstGeom>
                      <a:noFill/>
                      <a:ln>
                        <a:noFill/>
                      </a:ln>
                    </wps:spPr>
                    <wps:txbx>
                      <w:txbxContent>
                        <w:p>
                          <w:pPr>
                            <w:pStyle w:val="964"/>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66</w:t>
                          </w:r>
                          <w:r>
                            <w:rPr>
                              <w:rFonts w:hint="eastAsia"/>
                            </w:rPr>
                            <w:fldChar w:fldCharType="end"/>
                          </w:r>
                          <w:r/>
                        </w:p>
                        <w:p>
                          <w:pPr>
                            <w:pStyle w:val="741"/>
                          </w:pPr>
                          <w:r/>
                          <w:r/>
                        </w:p>
                      </w:txbxContent>
                    </wps:txbx>
                    <wps:bodyPr wrap="square" lIns="0" tIns="0" rIns="0" bIns="0" upright="1">
                      <a:no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1.6pt;height:22.4pt;mso-wrap-distance-left:9.0pt;mso-wrap-distance-top:0.0pt;mso-wrap-distance-right:9.0pt;mso-wrap-distance-bottom:0.0pt;visibility:visible;" filled="f" stroked="f">
              <v:textbox inset="0,0,0,0">
                <w:txbxContent>
                  <w:p>
                    <w:pPr>
                      <w:pStyle w:val="964"/>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66</w:t>
                    </w:r>
                    <w:r>
                      <w:rPr>
                        <w:rFonts w:hint="eastAsia"/>
                      </w:rPr>
                      <w:fldChar w:fldCharType="end"/>
                    </w:r>
                    <w:r/>
                  </w:p>
                  <w:p>
                    <w:pPr>
                      <w:pStyle w:val="741"/>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ind w:firstLine="361"/>
      <w:jc w:val="both"/>
      <w:tabs>
        <w:tab w:val="center" w:pos="4153" w:leader="none"/>
        <w:tab w:val="right" w:pos="8306" w:leader="none"/>
      </w:tabs>
      <w:rPr>
        <w:rFonts w:ascii="宋体" w:hAnsi="宋体" w:cs="宋体"/>
      </w:rPr>
    </w:pPr>
    <w:r>
      <w:rPr>
        <w:rFonts w:ascii="宋体" w:hAnsi="宋体" w:cs="宋体"/>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pStyle w:val="741"/>
      </w:pPr>
      <w:rPr>
        <w:rFonts w:hint="eastAsia"/>
      </w:rPr>
    </w:lvl>
    <w:lvl w:ilvl="1">
      <w:start w:val="1"/>
      <w:numFmt w:val="bullet"/>
      <w:isLgl w:val="false"/>
      <w:suff w:val="tab"/>
      <w:lvlText w:val="o"/>
      <w:lvlJc w:val="left"/>
      <w:pPr>
        <w:pStyle w:val="741"/>
        <w:ind w:left="1440" w:hanging="360"/>
      </w:pPr>
      <w:rPr>
        <w:rFonts w:ascii="Courier New" w:hAnsi="Courier New" w:eastAsia="Courier New" w:cs="Courier New"/>
      </w:rPr>
    </w:lvl>
    <w:lvl w:ilvl="2">
      <w:start w:val="1"/>
      <w:numFmt w:val="bullet"/>
      <w:isLgl w:val="false"/>
      <w:suff w:val="tab"/>
      <w:lvlText w:val="§"/>
      <w:lvlJc w:val="left"/>
      <w:pPr>
        <w:pStyle w:val="741"/>
        <w:ind w:left="2160" w:hanging="360"/>
      </w:pPr>
      <w:rPr>
        <w:rFonts w:ascii="Wingdings" w:hAnsi="Wingdings" w:eastAsia="Wingdings" w:cs="Wingdings"/>
      </w:rPr>
    </w:lvl>
    <w:lvl w:ilvl="3">
      <w:start w:val="1"/>
      <w:numFmt w:val="bullet"/>
      <w:isLgl w:val="false"/>
      <w:suff w:val="tab"/>
      <w:lvlText w:val="·"/>
      <w:lvlJc w:val="left"/>
      <w:pPr>
        <w:pStyle w:val="741"/>
        <w:ind w:left="2880" w:hanging="360"/>
      </w:pPr>
      <w:rPr>
        <w:rFonts w:ascii="Symbol" w:hAnsi="Symbol" w:eastAsia="Symbol" w:cs="Symbol"/>
      </w:rPr>
    </w:lvl>
    <w:lvl w:ilvl="4">
      <w:start w:val="1"/>
      <w:numFmt w:val="bullet"/>
      <w:isLgl w:val="false"/>
      <w:suff w:val="tab"/>
      <w:lvlText w:val="o"/>
      <w:lvlJc w:val="left"/>
      <w:pPr>
        <w:pStyle w:val="741"/>
        <w:ind w:left="3600" w:hanging="360"/>
      </w:pPr>
      <w:rPr>
        <w:rFonts w:ascii="Courier New" w:hAnsi="Courier New" w:eastAsia="Courier New" w:cs="Courier New"/>
      </w:rPr>
    </w:lvl>
    <w:lvl w:ilvl="5">
      <w:start w:val="1"/>
      <w:numFmt w:val="bullet"/>
      <w:isLgl w:val="false"/>
      <w:suff w:val="tab"/>
      <w:lvlText w:val="§"/>
      <w:lvlJc w:val="left"/>
      <w:pPr>
        <w:pStyle w:val="741"/>
        <w:ind w:left="4320" w:hanging="360"/>
      </w:pPr>
      <w:rPr>
        <w:rFonts w:ascii="Wingdings" w:hAnsi="Wingdings" w:eastAsia="Wingdings" w:cs="Wingdings"/>
      </w:rPr>
    </w:lvl>
    <w:lvl w:ilvl="6">
      <w:start w:val="1"/>
      <w:numFmt w:val="bullet"/>
      <w:isLgl w:val="false"/>
      <w:suff w:val="tab"/>
      <w:lvlText w:val="·"/>
      <w:lvlJc w:val="left"/>
      <w:pPr>
        <w:pStyle w:val="741"/>
        <w:ind w:left="5040" w:hanging="360"/>
      </w:pPr>
      <w:rPr>
        <w:rFonts w:ascii="Symbol" w:hAnsi="Symbol" w:eastAsia="Symbol" w:cs="Symbol"/>
      </w:rPr>
    </w:lvl>
    <w:lvl w:ilvl="7">
      <w:start w:val="1"/>
      <w:numFmt w:val="bullet"/>
      <w:isLgl w:val="false"/>
      <w:suff w:val="tab"/>
      <w:lvlText w:val="o"/>
      <w:lvlJc w:val="left"/>
      <w:pPr>
        <w:pStyle w:val="741"/>
        <w:ind w:left="5760" w:hanging="360"/>
      </w:pPr>
      <w:rPr>
        <w:rFonts w:ascii="Courier New" w:hAnsi="Courier New" w:eastAsia="Courier New" w:cs="Courier New"/>
      </w:rPr>
    </w:lvl>
    <w:lvl w:ilvl="8">
      <w:start w:val="1"/>
      <w:numFmt w:val="bullet"/>
      <w:isLgl w:val="false"/>
      <w:suff w:val="tab"/>
      <w:lvlText w:val="§"/>
      <w:lvlJc w:val="left"/>
      <w:pPr>
        <w:pStyle w:val="741"/>
        <w:ind w:left="6480" w:hanging="360"/>
      </w:pPr>
      <w:rPr>
        <w:rFonts w:ascii="Wingdings" w:hAnsi="Wingdings" w:eastAsia="Wingdings" w:cs="Wingdings"/>
      </w:rPr>
    </w:lvl>
  </w:abstractNum>
  <w:abstractNum w:abstractNumId="1">
    <w:multiLevelType w:val="hybridMultilevel"/>
    <w:lvl w:ilvl="0">
      <w:start w:val="3"/>
      <w:numFmt w:val="chineseCounting"/>
      <w:isLgl w:val="false"/>
      <w:suff w:val="nothing"/>
      <w:lvlText w:val="%1、"/>
      <w:lvlJc w:val="left"/>
      <w:pPr>
        <w:pStyle w:val="741"/>
      </w:pPr>
      <w:rPr>
        <w:rFonts w:hint="eastAsia"/>
      </w:rPr>
    </w:lvl>
    <w:lvl w:ilvl="1">
      <w:start w:val="1"/>
      <w:numFmt w:val="bullet"/>
      <w:isLgl w:val="false"/>
      <w:suff w:val="tab"/>
      <w:lvlText w:val="o"/>
      <w:lvlJc w:val="left"/>
      <w:pPr>
        <w:pStyle w:val="741"/>
        <w:ind w:left="1440" w:hanging="360"/>
      </w:pPr>
      <w:rPr>
        <w:rFonts w:ascii="Courier New" w:hAnsi="Courier New" w:eastAsia="Courier New" w:cs="Courier New"/>
      </w:rPr>
    </w:lvl>
    <w:lvl w:ilvl="2">
      <w:start w:val="1"/>
      <w:numFmt w:val="bullet"/>
      <w:isLgl w:val="false"/>
      <w:suff w:val="tab"/>
      <w:lvlText w:val="§"/>
      <w:lvlJc w:val="left"/>
      <w:pPr>
        <w:pStyle w:val="741"/>
        <w:ind w:left="2160" w:hanging="360"/>
      </w:pPr>
      <w:rPr>
        <w:rFonts w:ascii="Wingdings" w:hAnsi="Wingdings" w:eastAsia="Wingdings" w:cs="Wingdings"/>
      </w:rPr>
    </w:lvl>
    <w:lvl w:ilvl="3">
      <w:start w:val="1"/>
      <w:numFmt w:val="bullet"/>
      <w:isLgl w:val="false"/>
      <w:suff w:val="tab"/>
      <w:lvlText w:val="·"/>
      <w:lvlJc w:val="left"/>
      <w:pPr>
        <w:pStyle w:val="741"/>
        <w:ind w:left="2880" w:hanging="360"/>
      </w:pPr>
      <w:rPr>
        <w:rFonts w:ascii="Symbol" w:hAnsi="Symbol" w:eastAsia="Symbol" w:cs="Symbol"/>
      </w:rPr>
    </w:lvl>
    <w:lvl w:ilvl="4">
      <w:start w:val="1"/>
      <w:numFmt w:val="bullet"/>
      <w:isLgl w:val="false"/>
      <w:suff w:val="tab"/>
      <w:lvlText w:val="o"/>
      <w:lvlJc w:val="left"/>
      <w:pPr>
        <w:pStyle w:val="741"/>
        <w:ind w:left="3600" w:hanging="360"/>
      </w:pPr>
      <w:rPr>
        <w:rFonts w:ascii="Courier New" w:hAnsi="Courier New" w:eastAsia="Courier New" w:cs="Courier New"/>
      </w:rPr>
    </w:lvl>
    <w:lvl w:ilvl="5">
      <w:start w:val="1"/>
      <w:numFmt w:val="bullet"/>
      <w:isLgl w:val="false"/>
      <w:suff w:val="tab"/>
      <w:lvlText w:val="§"/>
      <w:lvlJc w:val="left"/>
      <w:pPr>
        <w:pStyle w:val="741"/>
        <w:ind w:left="4320" w:hanging="360"/>
      </w:pPr>
      <w:rPr>
        <w:rFonts w:ascii="Wingdings" w:hAnsi="Wingdings" w:eastAsia="Wingdings" w:cs="Wingdings"/>
      </w:rPr>
    </w:lvl>
    <w:lvl w:ilvl="6">
      <w:start w:val="1"/>
      <w:numFmt w:val="bullet"/>
      <w:isLgl w:val="false"/>
      <w:suff w:val="tab"/>
      <w:lvlText w:val="·"/>
      <w:lvlJc w:val="left"/>
      <w:pPr>
        <w:pStyle w:val="741"/>
        <w:ind w:left="5040" w:hanging="360"/>
      </w:pPr>
      <w:rPr>
        <w:rFonts w:ascii="Symbol" w:hAnsi="Symbol" w:eastAsia="Symbol" w:cs="Symbol"/>
      </w:rPr>
    </w:lvl>
    <w:lvl w:ilvl="7">
      <w:start w:val="1"/>
      <w:numFmt w:val="bullet"/>
      <w:isLgl w:val="false"/>
      <w:suff w:val="tab"/>
      <w:lvlText w:val="o"/>
      <w:lvlJc w:val="left"/>
      <w:pPr>
        <w:pStyle w:val="741"/>
        <w:ind w:left="5760" w:hanging="360"/>
      </w:pPr>
      <w:rPr>
        <w:rFonts w:ascii="Courier New" w:hAnsi="Courier New" w:eastAsia="Courier New" w:cs="Courier New"/>
      </w:rPr>
    </w:lvl>
    <w:lvl w:ilvl="8">
      <w:start w:val="1"/>
      <w:numFmt w:val="bullet"/>
      <w:isLgl w:val="false"/>
      <w:suff w:val="tab"/>
      <w:lvlText w:val="§"/>
      <w:lvlJc w:val="left"/>
      <w:pPr>
        <w:pStyle w:val="741"/>
        <w:ind w:left="6480" w:hanging="360"/>
      </w:pPr>
      <w:rPr>
        <w:rFonts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pStyle w:val="741"/>
        <w:ind w:left="3119" w:firstLine="0"/>
      </w:pPr>
      <w:rPr>
        <w:rFonts w:hint="eastAsia"/>
      </w:rPr>
    </w:lvl>
    <w:lvl w:ilvl="1">
      <w:start w:val="1"/>
      <w:numFmt w:val="decimal"/>
      <w:pStyle w:val="956"/>
      <w:isLgl w:val="false"/>
      <w:suff w:val="nothing"/>
      <w:lvlText w:val=""/>
      <w:lvlJc w:val="left"/>
      <w:pPr>
        <w:pStyle w:val="741"/>
        <w:ind w:left="-2520" w:firstLine="0"/>
      </w:pPr>
      <w:rPr>
        <w:rFonts w:hint="eastAsia"/>
      </w:rPr>
    </w:lvl>
    <w:lvl w:ilvl="2">
      <w:start w:val="1"/>
      <w:numFmt w:val="upperRoman"/>
      <w:isLgl w:val="false"/>
      <w:suff w:val="tab"/>
      <w:lvlText w:val="%3."/>
      <w:lvlJc w:val="left"/>
      <w:pPr>
        <w:pStyle w:val="741"/>
        <w:ind w:left="-2100" w:hanging="420"/>
        <w:tabs>
          <w:tab w:val="num" w:pos="-2100" w:leader="none"/>
        </w:tabs>
      </w:pPr>
      <w:rPr>
        <w:rFonts w:hint="eastAsia"/>
      </w:rPr>
    </w:lvl>
    <w:lvl w:ilvl="3">
      <w:start w:val="1"/>
      <w:numFmt w:val="decimal"/>
      <w:isLgl w:val="false"/>
      <w:suff w:val="nothing"/>
      <w:lvlText w:val=""/>
      <w:lvlJc w:val="left"/>
      <w:pPr>
        <w:pStyle w:val="741"/>
        <w:ind w:left="-2520" w:firstLine="0"/>
      </w:pPr>
      <w:rPr>
        <w:rFonts w:hint="eastAsia"/>
      </w:rPr>
    </w:lvl>
    <w:lvl w:ilvl="4">
      <w:start w:val="1"/>
      <w:numFmt w:val="decimal"/>
      <w:isLgl w:val="false"/>
      <w:suff w:val="nothing"/>
      <w:lvlText w:val=""/>
      <w:lvlJc w:val="left"/>
      <w:pPr>
        <w:pStyle w:val="741"/>
        <w:ind w:left="-2520" w:firstLine="0"/>
      </w:pPr>
      <w:rPr>
        <w:rFonts w:hint="eastAsia"/>
      </w:rPr>
    </w:lvl>
    <w:lvl w:ilvl="5">
      <w:start w:val="1"/>
      <w:numFmt w:val="decimal"/>
      <w:pStyle w:val="962"/>
      <w:isLgl w:val="false"/>
      <w:suff w:val="nothing"/>
      <w:lvlText w:val=""/>
      <w:lvlJc w:val="left"/>
      <w:pPr>
        <w:pStyle w:val="741"/>
        <w:ind w:left="-2520" w:firstLine="0"/>
      </w:pPr>
      <w:rPr>
        <w:rFonts w:hint="eastAsia"/>
      </w:rPr>
    </w:lvl>
    <w:lvl w:ilvl="6">
      <w:start w:val="1"/>
      <w:numFmt w:val="decimal"/>
      <w:isLgl w:val="false"/>
      <w:suff w:val="nothing"/>
      <w:lvlText w:val=""/>
      <w:lvlJc w:val="left"/>
      <w:pPr>
        <w:pStyle w:val="741"/>
        <w:ind w:left="-2520" w:firstLine="0"/>
      </w:pPr>
      <w:rPr>
        <w:rFonts w:hint="eastAsia"/>
      </w:rPr>
    </w:lvl>
    <w:lvl w:ilvl="7">
      <w:start w:val="1"/>
      <w:numFmt w:val="decimal"/>
      <w:isLgl w:val="false"/>
      <w:suff w:val="nothing"/>
      <w:lvlText w:val=""/>
      <w:lvlJc w:val="left"/>
      <w:pPr>
        <w:pStyle w:val="741"/>
        <w:ind w:left="-2520" w:firstLine="0"/>
      </w:pPr>
      <w:rPr>
        <w:rFonts w:hint="eastAsia"/>
      </w:rPr>
    </w:lvl>
    <w:lvl w:ilvl="8">
      <w:start w:val="1"/>
      <w:numFmt w:val="decimal"/>
      <w:isLgl w:val="false"/>
      <w:suff w:val="nothing"/>
      <w:lvlText w:val=""/>
      <w:lvlJc w:val="left"/>
      <w:pPr>
        <w:pStyle w:val="741"/>
        <w:ind w:left="-2520" w:firstLine="0"/>
      </w:pPr>
      <w:rPr>
        <w:rFonts w:hint="eastAsia"/>
      </w:rPr>
    </w:lvl>
  </w:abstractNum>
  <w:abstractNum w:abstractNumId="3">
    <w:multiLevelType w:val="hybridMultilevel"/>
    <w:lvl w:ilvl="0">
      <w:start w:val="6"/>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Symbol" w:hAnsi="Symbol" w:eastAsia="Symbol" w:cs="Symbol"/>
      </w:rPr>
    </w:lvl>
    <w:lvl w:ilvl="2">
      <w:start w:val="1"/>
      <w:numFmt w:val="bullet"/>
      <w:isLgl w:val="false"/>
      <w:suff w:val="tab"/>
      <w:lvlText w:val="§"/>
      <w:lvlJc w:val="left"/>
      <w:pPr>
        <w:ind w:left="2160" w:hanging="360"/>
      </w:pPr>
      <w:rPr>
        <w:rFonts w:hint="default" w:ascii="Symbol" w:hAnsi="Symbol" w:eastAsia="Symbol" w:cs="Symbol"/>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Symbol" w:hAnsi="Symbol" w:eastAsia="Symbol" w:cs="Symbol"/>
      </w:rPr>
    </w:lvl>
    <w:lvl w:ilvl="5">
      <w:start w:val="1"/>
      <w:numFmt w:val="bullet"/>
      <w:isLgl w:val="false"/>
      <w:suff w:val="tab"/>
      <w:lvlText w:val="§"/>
      <w:lvlJc w:val="left"/>
      <w:pPr>
        <w:ind w:left="4320" w:hanging="360"/>
      </w:pPr>
      <w:rPr>
        <w:rFonts w:hint="default" w:ascii="Symbol" w:hAnsi="Symbol" w:eastAsia="Symbol" w:cs="Symbol"/>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Symbol" w:hAnsi="Symbol" w:eastAsia="Symbol" w:cs="Symbol"/>
      </w:rPr>
    </w:lvl>
    <w:lvl w:ilvl="8">
      <w:start w:val="1"/>
      <w:numFmt w:val="bullet"/>
      <w:isLgl w:val="false"/>
      <w:suff w:val="tab"/>
      <w:lvlText w:val="§"/>
      <w:lvlJc w:val="left"/>
      <w:pPr>
        <w:ind w:left="6480" w:hanging="360"/>
      </w:pPr>
      <w:rPr>
        <w:rFonts w:hint="default" w:ascii="Symbol" w:hAnsi="Symbol" w:eastAsia="Symbol" w:cs="Symbol"/>
      </w:rPr>
    </w:lvl>
  </w:abstractNum>
  <w:abstractNum w:abstractNumId="4">
    <w:multiLevelType w:val="hybridMultilevel"/>
    <w:lvl w:ilvl="0">
      <w:start w:val="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Symbol" w:hAnsi="Symbol" w:eastAsia="Symbol" w:cs="Symbol"/>
      </w:rPr>
    </w:lvl>
    <w:lvl w:ilvl="2">
      <w:start w:val="1"/>
      <w:numFmt w:val="bullet"/>
      <w:isLgl w:val="false"/>
      <w:suff w:val="tab"/>
      <w:lvlText w:val="§"/>
      <w:lvlJc w:val="left"/>
      <w:pPr>
        <w:ind w:left="2160" w:hanging="360"/>
      </w:pPr>
      <w:rPr>
        <w:rFonts w:hint="default" w:ascii="Symbol" w:hAnsi="Symbol" w:eastAsia="Symbol" w:cs="Symbol"/>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Symbol" w:hAnsi="Symbol" w:eastAsia="Symbol" w:cs="Symbol"/>
      </w:rPr>
    </w:lvl>
    <w:lvl w:ilvl="5">
      <w:start w:val="1"/>
      <w:numFmt w:val="bullet"/>
      <w:isLgl w:val="false"/>
      <w:suff w:val="tab"/>
      <w:lvlText w:val="§"/>
      <w:lvlJc w:val="left"/>
      <w:pPr>
        <w:ind w:left="4320" w:hanging="360"/>
      </w:pPr>
      <w:rPr>
        <w:rFonts w:hint="default" w:ascii="Symbol" w:hAnsi="Symbol" w:eastAsia="Symbol" w:cs="Symbol"/>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Symbol" w:hAnsi="Symbol" w:eastAsia="Symbol" w:cs="Symbol"/>
      </w:rPr>
    </w:lvl>
    <w:lvl w:ilvl="8">
      <w:start w:val="1"/>
      <w:numFmt w:val="bullet"/>
      <w:isLgl w:val="false"/>
      <w:suff w:val="tab"/>
      <w:lvlText w:val="§"/>
      <w:lvlJc w:val="left"/>
      <w:pPr>
        <w:ind w:left="6480" w:hanging="360"/>
      </w:pPr>
      <w:rPr>
        <w:rFonts w:hint="default" w:ascii="Symbol" w:hAnsi="Symbol" w:eastAsia="Symbol" w:cs="Symbol"/>
      </w:rPr>
    </w:lvl>
  </w:abstractNum>
  <w:num w:numId="1">
    <w:abstractNumId w:val="2"/>
  </w:num>
  <w:num w:numId="2">
    <w:abstractNumId w:val="0"/>
  </w:num>
  <w:num w:numId="3">
    <w:abstractNumId w:val="1"/>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2">
    <w:name w:val="List Paragraph"/>
    <w:basedOn w:val="741"/>
    <w:uiPriority w:val="34"/>
    <w:qFormat/>
    <w:pPr>
      <w:contextualSpacing/>
      <w:ind w:left="720"/>
    </w:pPr>
  </w:style>
  <w:style w:type="paragraph" w:styleId="693">
    <w:name w:val="No Spacing"/>
    <w:uiPriority w:val="1"/>
    <w:qFormat/>
    <w:pPr>
      <w:spacing w:before="0" w:after="0" w:line="240" w:lineRule="auto"/>
    </w:pPr>
  </w:style>
  <w:style w:type="paragraph" w:styleId="694">
    <w:name w:val="Title"/>
    <w:basedOn w:val="741"/>
    <w:next w:val="741"/>
    <w:link w:val="695"/>
    <w:uiPriority w:val="10"/>
    <w:qFormat/>
    <w:pPr>
      <w:contextualSpacing/>
      <w:spacing w:before="300" w:after="200"/>
    </w:pPr>
    <w:rPr>
      <w:sz w:val="48"/>
      <w:szCs w:val="48"/>
    </w:rPr>
  </w:style>
  <w:style w:type="character" w:styleId="695">
    <w:name w:val="Title Char"/>
    <w:link w:val="694"/>
    <w:uiPriority w:val="10"/>
    <w:rPr>
      <w:sz w:val="48"/>
      <w:szCs w:val="48"/>
    </w:rPr>
  </w:style>
  <w:style w:type="paragraph" w:styleId="696">
    <w:name w:val="Subtitle"/>
    <w:basedOn w:val="741"/>
    <w:next w:val="741"/>
    <w:link w:val="820"/>
    <w:uiPriority w:val="11"/>
    <w:qFormat/>
    <w:pPr>
      <w:spacing w:before="200" w:after="200"/>
    </w:pPr>
    <w:rPr>
      <w:sz w:val="24"/>
      <w:szCs w:val="24"/>
    </w:rPr>
  </w:style>
  <w:style w:type="paragraph" w:styleId="697">
    <w:name w:val="Quote"/>
    <w:basedOn w:val="741"/>
    <w:next w:val="741"/>
    <w:link w:val="698"/>
    <w:uiPriority w:val="29"/>
    <w:qFormat/>
    <w:pPr>
      <w:ind w:left="720" w:right="720"/>
    </w:pPr>
    <w:rPr>
      <w:i/>
    </w:rPr>
  </w:style>
  <w:style w:type="character" w:styleId="698">
    <w:name w:val="Quote Char"/>
    <w:link w:val="697"/>
    <w:uiPriority w:val="29"/>
    <w:rPr>
      <w:i/>
    </w:rPr>
  </w:style>
  <w:style w:type="paragraph" w:styleId="699">
    <w:name w:val="Intense Quote"/>
    <w:basedOn w:val="741"/>
    <w:next w:val="741"/>
    <w:link w:val="70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0">
    <w:name w:val="Intense Quote Char"/>
    <w:link w:val="699"/>
    <w:uiPriority w:val="30"/>
    <w:rPr>
      <w:i/>
    </w:rPr>
  </w:style>
  <w:style w:type="paragraph" w:styleId="701">
    <w:name w:val="Header"/>
    <w:basedOn w:val="741"/>
    <w:link w:val="825"/>
    <w:uiPriority w:val="99"/>
    <w:unhideWhenUsed/>
    <w:pPr>
      <w:spacing w:after="0" w:line="240" w:lineRule="auto"/>
      <w:tabs>
        <w:tab w:val="center" w:pos="7143" w:leader="none"/>
        <w:tab w:val="right" w:pos="14287" w:leader="none"/>
      </w:tabs>
    </w:pPr>
  </w:style>
  <w:style w:type="paragraph" w:styleId="702">
    <w:name w:val="Footer"/>
    <w:basedOn w:val="741"/>
    <w:link w:val="828"/>
    <w:uiPriority w:val="99"/>
    <w:unhideWhenUsed/>
    <w:pPr>
      <w:spacing w:after="0" w:line="240" w:lineRule="auto"/>
      <w:tabs>
        <w:tab w:val="center" w:pos="7143" w:leader="none"/>
        <w:tab w:val="right" w:pos="14287" w:leader="none"/>
      </w:tabs>
    </w:pPr>
  </w:style>
  <w:style w:type="paragraph" w:styleId="703">
    <w:name w:val="Caption"/>
    <w:basedOn w:val="741"/>
    <w:next w:val="741"/>
    <w:uiPriority w:val="35"/>
    <w:semiHidden/>
    <w:unhideWhenUsed/>
    <w:qFormat/>
    <w:pPr>
      <w:spacing w:line="276" w:lineRule="auto"/>
    </w:pPr>
    <w:rPr>
      <w:b/>
      <w:bCs/>
      <w:color w:val="4f81bd" w:themeColor="accent1"/>
      <w:sz w:val="18"/>
      <w:szCs w:val="18"/>
    </w:rPr>
  </w:style>
  <w:style w:type="table" w:styleId="70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0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1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1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2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2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24">
    <w:name w:val="Hyperlink"/>
    <w:uiPriority w:val="99"/>
    <w:unhideWhenUsed/>
    <w:rPr>
      <w:color w:val="0000ff" w:themeColor="hyperlink"/>
      <w:u w:val="single"/>
    </w:rPr>
  </w:style>
  <w:style w:type="paragraph" w:styleId="725">
    <w:name w:val="footnote text"/>
    <w:basedOn w:val="741"/>
    <w:link w:val="954"/>
    <w:uiPriority w:val="99"/>
    <w:semiHidden/>
    <w:unhideWhenUsed/>
    <w:pPr>
      <w:spacing w:after="40" w:line="240" w:lineRule="auto"/>
    </w:pPr>
    <w:rPr>
      <w:sz w:val="18"/>
    </w:rPr>
  </w:style>
  <w:style w:type="character" w:styleId="726">
    <w:name w:val="footnote reference"/>
    <w:uiPriority w:val="99"/>
    <w:unhideWhenUsed/>
    <w:rPr>
      <w:vertAlign w:val="superscript"/>
    </w:rPr>
  </w:style>
  <w:style w:type="paragraph" w:styleId="727">
    <w:name w:val="endnote text"/>
    <w:basedOn w:val="741"/>
    <w:link w:val="728"/>
    <w:uiPriority w:val="99"/>
    <w:semiHidden/>
    <w:unhideWhenUsed/>
    <w:pPr>
      <w:spacing w:after="0" w:line="240" w:lineRule="auto"/>
    </w:pPr>
    <w:rPr>
      <w:sz w:val="20"/>
    </w:rPr>
  </w:style>
  <w:style w:type="character" w:styleId="728">
    <w:name w:val="Endnote Text Char"/>
    <w:link w:val="727"/>
    <w:uiPriority w:val="99"/>
    <w:rPr>
      <w:sz w:val="20"/>
    </w:rPr>
  </w:style>
  <w:style w:type="character" w:styleId="729">
    <w:name w:val="endnote reference"/>
    <w:uiPriority w:val="99"/>
    <w:semiHidden/>
    <w:unhideWhenUsed/>
    <w:rPr>
      <w:vertAlign w:val="superscript"/>
    </w:rPr>
  </w:style>
  <w:style w:type="paragraph" w:styleId="730">
    <w:name w:val="toc 1"/>
    <w:basedOn w:val="741"/>
    <w:next w:val="741"/>
    <w:uiPriority w:val="39"/>
    <w:unhideWhenUsed/>
    <w:pPr>
      <w:ind w:left="0" w:right="0" w:firstLine="0"/>
      <w:spacing w:after="57"/>
    </w:pPr>
  </w:style>
  <w:style w:type="paragraph" w:styleId="731">
    <w:name w:val="toc 2"/>
    <w:basedOn w:val="741"/>
    <w:next w:val="741"/>
    <w:uiPriority w:val="39"/>
    <w:unhideWhenUsed/>
    <w:pPr>
      <w:ind w:left="283" w:right="0" w:firstLine="0"/>
      <w:spacing w:after="57"/>
    </w:pPr>
  </w:style>
  <w:style w:type="paragraph" w:styleId="732">
    <w:name w:val="toc 3"/>
    <w:basedOn w:val="741"/>
    <w:next w:val="741"/>
    <w:uiPriority w:val="39"/>
    <w:unhideWhenUsed/>
    <w:pPr>
      <w:ind w:left="567" w:right="0" w:firstLine="0"/>
      <w:spacing w:after="57"/>
    </w:pPr>
  </w:style>
  <w:style w:type="paragraph" w:styleId="733">
    <w:name w:val="toc 4"/>
    <w:basedOn w:val="741"/>
    <w:next w:val="741"/>
    <w:uiPriority w:val="39"/>
    <w:unhideWhenUsed/>
    <w:pPr>
      <w:ind w:left="850" w:right="0" w:firstLine="0"/>
      <w:spacing w:after="57"/>
    </w:pPr>
  </w:style>
  <w:style w:type="paragraph" w:styleId="734">
    <w:name w:val="toc 5"/>
    <w:basedOn w:val="741"/>
    <w:next w:val="741"/>
    <w:uiPriority w:val="39"/>
    <w:unhideWhenUsed/>
    <w:pPr>
      <w:ind w:left="1134" w:right="0" w:firstLine="0"/>
      <w:spacing w:after="57"/>
    </w:pPr>
  </w:style>
  <w:style w:type="paragraph" w:styleId="735">
    <w:name w:val="toc 6"/>
    <w:basedOn w:val="741"/>
    <w:next w:val="741"/>
    <w:uiPriority w:val="39"/>
    <w:unhideWhenUsed/>
    <w:pPr>
      <w:ind w:left="1417" w:right="0" w:firstLine="0"/>
      <w:spacing w:after="57"/>
    </w:pPr>
  </w:style>
  <w:style w:type="paragraph" w:styleId="736">
    <w:name w:val="toc 7"/>
    <w:basedOn w:val="741"/>
    <w:next w:val="741"/>
    <w:uiPriority w:val="39"/>
    <w:unhideWhenUsed/>
    <w:pPr>
      <w:ind w:left="1701" w:right="0" w:firstLine="0"/>
      <w:spacing w:after="57"/>
    </w:pPr>
  </w:style>
  <w:style w:type="paragraph" w:styleId="737">
    <w:name w:val="toc 8"/>
    <w:basedOn w:val="741"/>
    <w:next w:val="741"/>
    <w:uiPriority w:val="39"/>
    <w:unhideWhenUsed/>
    <w:pPr>
      <w:ind w:left="1984" w:right="0" w:firstLine="0"/>
      <w:spacing w:after="57"/>
    </w:pPr>
  </w:style>
  <w:style w:type="paragraph" w:styleId="738">
    <w:name w:val="toc 9"/>
    <w:basedOn w:val="741"/>
    <w:next w:val="741"/>
    <w:uiPriority w:val="39"/>
    <w:unhideWhenUsed/>
    <w:pPr>
      <w:ind w:left="2268" w:right="0" w:firstLine="0"/>
      <w:spacing w:after="57"/>
    </w:pPr>
  </w:style>
  <w:style w:type="paragraph" w:styleId="739">
    <w:name w:val="TOC Heading"/>
    <w:uiPriority w:val="39"/>
    <w:unhideWhenUsed/>
  </w:style>
  <w:style w:type="paragraph" w:styleId="740">
    <w:name w:val="table of figures"/>
    <w:basedOn w:val="741"/>
    <w:next w:val="741"/>
    <w:uiPriority w:val="99"/>
    <w:unhideWhenUsed/>
    <w:pPr>
      <w:spacing w:after="0" w:afterAutospacing="0"/>
    </w:pPr>
  </w:style>
  <w:style w:type="paragraph" w:styleId="741" w:default="1">
    <w:name w:val="Normal"/>
    <w:next w:val="741"/>
    <w:link w:val="741"/>
    <w:qFormat/>
    <w:pPr>
      <w:jc w:val="both"/>
      <w:widowControl w:val="off"/>
    </w:pPr>
    <w:rPr>
      <w:sz w:val="21"/>
      <w:szCs w:val="24"/>
      <w:lang w:val="en-US" w:eastAsia="zh-CN" w:bidi="ar-SA"/>
    </w:rPr>
  </w:style>
  <w:style w:type="paragraph" w:styleId="742">
    <w:name w:val="标题 1"/>
    <w:basedOn w:val="741"/>
    <w:next w:val="741"/>
    <w:link w:val="741"/>
    <w:uiPriority w:val="9"/>
    <w:qFormat/>
    <w:pPr>
      <w:jc w:val="left"/>
      <w:spacing w:before="100" w:beforeAutospacing="1" w:after="100" w:afterAutospacing="1"/>
      <w:outlineLvl w:val="0"/>
    </w:pPr>
    <w:rPr>
      <w:rFonts w:hint="eastAsia" w:ascii="宋体" w:hAnsi="宋体" w:eastAsia="宋体" w:cs="宋体"/>
      <w:b/>
      <w:bCs/>
      <w:sz w:val="48"/>
      <w:szCs w:val="48"/>
      <w:lang w:val="en-US" w:eastAsia="zh-CN" w:bidi="ar"/>
    </w:rPr>
  </w:style>
  <w:style w:type="character" w:styleId="743">
    <w:name w:val="默认段落字体"/>
    <w:next w:val="743"/>
    <w:link w:val="741"/>
    <w:uiPriority w:val="1"/>
    <w:unhideWhenUsed/>
    <w:qFormat/>
  </w:style>
  <w:style w:type="table" w:styleId="744">
    <w:name w:val="普通表格"/>
    <w:next w:val="744"/>
    <w:link w:val="741"/>
    <w:uiPriority w:val="99"/>
    <w:unhideWhenUsed/>
    <w:qFormat/>
    <w:tblPr/>
  </w:style>
  <w:style w:type="paragraph" w:styleId="745">
    <w:name w:val="目录 7"/>
    <w:basedOn w:val="741"/>
    <w:next w:val="741"/>
    <w:link w:val="741"/>
    <w:uiPriority w:val="39"/>
    <w:unhideWhenUsed/>
    <w:pPr>
      <w:ind w:left="1701" w:right="0" w:firstLine="0"/>
      <w:spacing w:after="57"/>
    </w:pPr>
  </w:style>
  <w:style w:type="paragraph" w:styleId="746">
    <w:name w:val="引文目录"/>
    <w:basedOn w:val="741"/>
    <w:next w:val="741"/>
    <w:link w:val="741"/>
    <w:uiPriority w:val="99"/>
    <w:unhideWhenUsed/>
    <w:qFormat/>
    <w:pPr>
      <w:ind w:left="420"/>
    </w:pPr>
  </w:style>
  <w:style w:type="paragraph" w:styleId="747">
    <w:name w:val="正文缩进"/>
    <w:basedOn w:val="741"/>
    <w:next w:val="741"/>
    <w:link w:val="748"/>
    <w:qFormat/>
    <w:pPr>
      <w:ind w:firstLine="420"/>
    </w:pPr>
    <w:rPr>
      <w:rFonts w:eastAsia="楷体_GB2312"/>
      <w:sz w:val="24"/>
      <w:szCs w:val="20"/>
    </w:rPr>
  </w:style>
  <w:style w:type="character" w:styleId="748">
    <w:name w:val="正文缩进 字符"/>
    <w:next w:val="748"/>
    <w:link w:val="747"/>
    <w:qFormat/>
    <w:rPr>
      <w:rFonts w:ascii="Times New Roman" w:hAnsi="Times New Roman" w:eastAsia="楷体_GB2312" w:cs="Times New Roman"/>
      <w:sz w:val="24"/>
      <w:szCs w:val="20"/>
    </w:rPr>
  </w:style>
  <w:style w:type="paragraph" w:styleId="749">
    <w:name w:val="文档结构图"/>
    <w:basedOn w:val="741"/>
    <w:next w:val="750"/>
    <w:link w:val="741"/>
    <w:qFormat/>
    <w:rPr>
      <w:rFonts w:ascii="宋体"/>
      <w:sz w:val="18"/>
      <w:szCs w:val="18"/>
    </w:rPr>
  </w:style>
  <w:style w:type="paragraph" w:styleId="750">
    <w:name w:val="批注主题"/>
    <w:basedOn w:val="751"/>
    <w:next w:val="741"/>
    <w:link w:val="753"/>
    <w:qFormat/>
    <w:rPr>
      <w:b/>
      <w:bCs/>
    </w:rPr>
  </w:style>
  <w:style w:type="paragraph" w:styleId="751">
    <w:name w:val="批注文字"/>
    <w:basedOn w:val="742"/>
    <w:next w:val="741"/>
    <w:link w:val="752"/>
    <w:qFormat/>
    <w:pPr>
      <w:jc w:val="left"/>
    </w:pPr>
  </w:style>
  <w:style w:type="character" w:styleId="752">
    <w:name w:val="批注文字 字符"/>
    <w:next w:val="752"/>
    <w:link w:val="751"/>
    <w:qFormat/>
    <w:rPr>
      <w:rFonts w:ascii="Times New Roman" w:hAnsi="Times New Roman" w:eastAsia="宋体" w:cs="Times New Roman"/>
      <w:szCs w:val="24"/>
    </w:rPr>
  </w:style>
  <w:style w:type="character" w:styleId="753">
    <w:name w:val="批注主题 字符"/>
    <w:next w:val="753"/>
    <w:link w:val="750"/>
    <w:qFormat/>
    <w:rPr>
      <w:rFonts w:ascii="Times New Roman" w:hAnsi="Times New Roman" w:eastAsia="宋体" w:cs="Times New Roman"/>
      <w:b/>
      <w:bCs/>
      <w:szCs w:val="24"/>
    </w:rPr>
  </w:style>
  <w:style w:type="paragraph" w:styleId="754">
    <w:name w:val="正文文本"/>
    <w:basedOn w:val="741"/>
    <w:next w:val="756"/>
    <w:link w:val="755"/>
    <w:uiPriority w:val="99"/>
    <w:unhideWhenUsed/>
    <w:qFormat/>
    <w:pPr>
      <w:spacing w:after="120"/>
    </w:pPr>
    <w:rPr>
      <w:sz w:val="20"/>
    </w:rPr>
  </w:style>
  <w:style w:type="character" w:styleId="755">
    <w:name w:val="正文文本 字符"/>
    <w:next w:val="755"/>
    <w:link w:val="754"/>
    <w:uiPriority w:val="99"/>
    <w:qFormat/>
    <w:rPr>
      <w:rFonts w:ascii="Times New Roman" w:hAnsi="Times New Roman" w:eastAsia="宋体" w:cs="Times New Roman"/>
      <w:sz w:val="20"/>
      <w:szCs w:val="24"/>
    </w:rPr>
  </w:style>
  <w:style w:type="paragraph" w:styleId="756">
    <w:name w:val="正文首行缩进"/>
    <w:basedOn w:val="754"/>
    <w:next w:val="741"/>
    <w:link w:val="741"/>
    <w:qFormat/>
    <w:pPr>
      <w:ind w:firstLine="420"/>
    </w:pPr>
  </w:style>
  <w:style w:type="paragraph" w:styleId="757">
    <w:name w:val="正文文本缩进"/>
    <w:basedOn w:val="741"/>
    <w:next w:val="757"/>
    <w:link w:val="758"/>
    <w:qFormat/>
    <w:pPr>
      <w:ind w:firstLine="425"/>
      <w:spacing w:line="360" w:lineRule="auto"/>
    </w:pPr>
    <w:rPr>
      <w:sz w:val="24"/>
    </w:rPr>
  </w:style>
  <w:style w:type="character" w:styleId="758">
    <w:name w:val="正文文本缩进 字符"/>
    <w:next w:val="758"/>
    <w:link w:val="757"/>
    <w:qFormat/>
    <w:rPr>
      <w:rFonts w:ascii="Times New Roman" w:hAnsi="Times New Roman" w:eastAsia="宋体" w:cs="Times New Roman"/>
      <w:sz w:val="24"/>
      <w:szCs w:val="24"/>
    </w:rPr>
  </w:style>
  <w:style w:type="paragraph" w:styleId="759">
    <w:name w:val="文本块"/>
    <w:basedOn w:val="760"/>
    <w:next w:val="741"/>
    <w:link w:val="741"/>
    <w:qFormat/>
    <w:pPr>
      <w:ind w:left="630" w:right="-609" w:firstLine="420"/>
      <w:spacing w:line="360" w:lineRule="auto"/>
    </w:pPr>
    <w:rPr>
      <w:rFonts w:hint="eastAsia" w:ascii="仿宋_GB2312" w:eastAsia="仿宋_GB2312"/>
      <w:szCs w:val="20"/>
    </w:rPr>
  </w:style>
  <w:style w:type="paragraph" w:styleId="760">
    <w:name w:val="Heading 1"/>
    <w:basedOn w:val="741"/>
    <w:next w:val="741"/>
    <w:link w:val="761"/>
    <w:qFormat/>
    <w:pPr>
      <w:keepLines/>
      <w:keepNext/>
      <w:spacing w:before="340" w:after="330" w:line="578" w:lineRule="auto"/>
      <w:outlineLvl w:val="0"/>
    </w:pPr>
    <w:rPr>
      <w:b/>
      <w:bCs/>
      <w:sz w:val="44"/>
      <w:szCs w:val="44"/>
    </w:rPr>
  </w:style>
  <w:style w:type="character" w:styleId="761">
    <w:name w:val="标题 1 Char"/>
    <w:next w:val="761"/>
    <w:link w:val="760"/>
    <w:qFormat/>
    <w:rPr>
      <w:rFonts w:ascii="Times New Roman" w:hAnsi="Times New Roman" w:eastAsia="宋体" w:cs="Times New Roman"/>
      <w:b/>
      <w:bCs/>
      <w:sz w:val="44"/>
      <w:szCs w:val="44"/>
    </w:rPr>
  </w:style>
  <w:style w:type="paragraph" w:styleId="762">
    <w:name w:val="索引 4"/>
    <w:basedOn w:val="741"/>
    <w:next w:val="741"/>
    <w:link w:val="741"/>
    <w:uiPriority w:val="99"/>
    <w:unhideWhenUsed/>
    <w:qFormat/>
    <w:pPr>
      <w:ind w:left="600"/>
    </w:pPr>
    <w:rPr>
      <w:szCs w:val="22"/>
    </w:rPr>
  </w:style>
  <w:style w:type="paragraph" w:styleId="763">
    <w:name w:val="目录 5"/>
    <w:basedOn w:val="741"/>
    <w:next w:val="741"/>
    <w:link w:val="741"/>
    <w:uiPriority w:val="39"/>
    <w:unhideWhenUsed/>
    <w:pPr>
      <w:ind w:left="1134" w:right="0" w:firstLine="0"/>
      <w:spacing w:after="57"/>
    </w:pPr>
  </w:style>
  <w:style w:type="paragraph" w:styleId="764">
    <w:name w:val="目录 3"/>
    <w:basedOn w:val="741"/>
    <w:next w:val="741"/>
    <w:link w:val="741"/>
    <w:uiPriority w:val="39"/>
    <w:unhideWhenUsed/>
    <w:pPr>
      <w:ind w:left="567" w:right="0" w:firstLine="0"/>
      <w:spacing w:after="57"/>
    </w:pPr>
  </w:style>
  <w:style w:type="paragraph" w:styleId="765">
    <w:name w:val="纯文本"/>
    <w:basedOn w:val="741"/>
    <w:next w:val="765"/>
    <w:link w:val="766"/>
    <w:uiPriority w:val="99"/>
    <w:qFormat/>
    <w:rPr>
      <w:rFonts w:ascii="宋体" w:hAnsi="Courier New" w:eastAsia="楷体_GB2312"/>
      <w:sz w:val="26"/>
    </w:rPr>
  </w:style>
  <w:style w:type="character" w:styleId="766">
    <w:name w:val="纯文本 字符"/>
    <w:next w:val="766"/>
    <w:link w:val="765"/>
    <w:uiPriority w:val="99"/>
    <w:qFormat/>
    <w:rPr>
      <w:rFonts w:ascii="宋体" w:hAnsi="Courier New" w:eastAsia="楷体_GB2312" w:cs="Times New Roman"/>
      <w:sz w:val="26"/>
      <w:szCs w:val="24"/>
    </w:rPr>
  </w:style>
  <w:style w:type="paragraph" w:styleId="767">
    <w:name w:val="目录 8"/>
    <w:basedOn w:val="741"/>
    <w:next w:val="741"/>
    <w:link w:val="741"/>
    <w:uiPriority w:val="39"/>
    <w:unhideWhenUsed/>
    <w:pPr>
      <w:ind w:left="1984" w:right="0" w:firstLine="0"/>
      <w:spacing w:after="57"/>
    </w:pPr>
  </w:style>
  <w:style w:type="paragraph" w:styleId="768">
    <w:name w:val="日期"/>
    <w:basedOn w:val="741"/>
    <w:next w:val="741"/>
    <w:link w:val="769"/>
    <w:qFormat/>
    <w:rPr>
      <w:b/>
      <w:bCs/>
      <w:spacing w:val="20"/>
      <w:sz w:val="20"/>
    </w:rPr>
  </w:style>
  <w:style w:type="character" w:styleId="769">
    <w:name w:val="日期 字符"/>
    <w:next w:val="769"/>
    <w:link w:val="768"/>
    <w:qFormat/>
    <w:rPr>
      <w:rFonts w:ascii="Times New Roman" w:hAnsi="Times New Roman" w:eastAsia="宋体" w:cs="Times New Roman"/>
      <w:b/>
      <w:bCs/>
      <w:spacing w:val="20"/>
      <w:sz w:val="20"/>
      <w:szCs w:val="24"/>
    </w:rPr>
  </w:style>
  <w:style w:type="paragraph" w:styleId="770">
    <w:name w:val="正文文本缩进 2"/>
    <w:basedOn w:val="741"/>
    <w:next w:val="770"/>
    <w:link w:val="741"/>
    <w:qFormat/>
    <w:pPr>
      <w:ind w:firstLine="540"/>
      <w:spacing w:line="360" w:lineRule="auto"/>
    </w:pPr>
    <w:rPr>
      <w:rFonts w:ascii="宋体" w:hAnsi="宋体"/>
      <w:sz w:val="24"/>
    </w:rPr>
  </w:style>
  <w:style w:type="paragraph" w:styleId="771">
    <w:name w:val="尾注文本"/>
    <w:basedOn w:val="741"/>
    <w:next w:val="771"/>
    <w:link w:val="772"/>
    <w:uiPriority w:val="99"/>
    <w:unhideWhenUsed/>
    <w:pPr>
      <w:spacing w:after="0" w:line="240" w:lineRule="auto"/>
    </w:pPr>
    <w:rPr>
      <w:sz w:val="20"/>
    </w:rPr>
  </w:style>
  <w:style w:type="character" w:styleId="772">
    <w:name w:val="尾注文本 字符"/>
    <w:next w:val="772"/>
    <w:link w:val="771"/>
    <w:uiPriority w:val="99"/>
    <w:rPr>
      <w:sz w:val="20"/>
    </w:rPr>
  </w:style>
  <w:style w:type="paragraph" w:styleId="773">
    <w:name w:val="批注框文本"/>
    <w:basedOn w:val="741"/>
    <w:next w:val="773"/>
    <w:link w:val="774"/>
    <w:qFormat/>
    <w:rPr>
      <w:sz w:val="18"/>
      <w:szCs w:val="18"/>
    </w:rPr>
  </w:style>
  <w:style w:type="character" w:styleId="774">
    <w:name w:val="批注框文本 字符"/>
    <w:next w:val="774"/>
    <w:link w:val="773"/>
    <w:qFormat/>
    <w:rPr>
      <w:rFonts w:ascii="Times New Roman" w:hAnsi="Times New Roman" w:eastAsia="宋体" w:cs="Times New Roman"/>
      <w:sz w:val="18"/>
      <w:szCs w:val="18"/>
    </w:rPr>
  </w:style>
  <w:style w:type="paragraph" w:styleId="775">
    <w:name w:val="页脚"/>
    <w:basedOn w:val="741"/>
    <w:next w:val="775"/>
    <w:link w:val="776"/>
    <w:uiPriority w:val="99"/>
    <w:unhideWhenUsed/>
    <w:pPr>
      <w:jc w:val="left"/>
      <w:tabs>
        <w:tab w:val="center" w:pos="4153" w:leader="none"/>
        <w:tab w:val="right" w:pos="8306" w:leader="none"/>
      </w:tabs>
    </w:pPr>
    <w:rPr>
      <w:sz w:val="18"/>
      <w:szCs w:val="18"/>
    </w:rPr>
  </w:style>
  <w:style w:type="character" w:styleId="776">
    <w:name w:val="页脚 字符"/>
    <w:next w:val="776"/>
    <w:link w:val="775"/>
    <w:uiPriority w:val="99"/>
    <w:rPr>
      <w:sz w:val="18"/>
      <w:szCs w:val="18"/>
    </w:rPr>
  </w:style>
  <w:style w:type="paragraph" w:styleId="777">
    <w:name w:val="寄信人地址"/>
    <w:basedOn w:val="741"/>
    <w:next w:val="777"/>
    <w:link w:val="741"/>
    <w:qFormat/>
    <w:rPr>
      <w:rFonts w:ascii="Arial" w:hAnsi="Arial" w:eastAsia="楷体_GB2312"/>
      <w:sz w:val="26"/>
    </w:rPr>
  </w:style>
  <w:style w:type="paragraph" w:styleId="778">
    <w:name w:val="页眉"/>
    <w:basedOn w:val="741"/>
    <w:next w:val="778"/>
    <w:link w:val="779"/>
    <w:uiPriority w:val="99"/>
    <w:unhideWhenUsed/>
    <w:pPr>
      <w:jc w:val="center"/>
      <w:tabs>
        <w:tab w:val="center" w:pos="4153" w:leader="none"/>
        <w:tab w:val="right" w:pos="8306" w:leader="none"/>
      </w:tabs>
    </w:pPr>
    <w:rPr>
      <w:sz w:val="18"/>
      <w:szCs w:val="18"/>
    </w:rPr>
  </w:style>
  <w:style w:type="character" w:styleId="779">
    <w:name w:val="页眉 字符"/>
    <w:next w:val="779"/>
    <w:link w:val="778"/>
    <w:uiPriority w:val="99"/>
    <w:rPr>
      <w:sz w:val="18"/>
      <w:szCs w:val="18"/>
    </w:rPr>
  </w:style>
  <w:style w:type="paragraph" w:styleId="780">
    <w:name w:val="目录 1"/>
    <w:basedOn w:val="741"/>
    <w:next w:val="741"/>
    <w:link w:val="741"/>
    <w:qFormat/>
    <w:pPr>
      <w:jc w:val="left"/>
    </w:pPr>
    <w:rPr>
      <w:rFonts w:eastAsia="楷体_GB2312"/>
      <w:sz w:val="24"/>
      <w:szCs w:val="20"/>
    </w:rPr>
  </w:style>
  <w:style w:type="paragraph" w:styleId="781">
    <w:name w:val="目录 4"/>
    <w:basedOn w:val="741"/>
    <w:next w:val="741"/>
    <w:link w:val="741"/>
    <w:qFormat/>
    <w:pPr>
      <w:ind w:left="1260"/>
    </w:pPr>
  </w:style>
  <w:style w:type="paragraph" w:styleId="782">
    <w:name w:val="副标题"/>
    <w:basedOn w:val="741"/>
    <w:next w:val="741"/>
    <w:link w:val="783"/>
    <w:qFormat/>
    <w:pPr>
      <w:jc w:val="center"/>
      <w:spacing w:before="240" w:after="60" w:line="312" w:lineRule="auto"/>
      <w:outlineLvl w:val="1"/>
    </w:pPr>
    <w:rPr>
      <w:rFonts w:ascii="宋体" w:hAnsi="Courier New" w:eastAsia="楷体_GB2312"/>
      <w:sz w:val="26"/>
      <w:szCs w:val="20"/>
    </w:rPr>
  </w:style>
  <w:style w:type="character" w:styleId="783">
    <w:name w:val="副标题 字符"/>
    <w:next w:val="783"/>
    <w:link w:val="782"/>
    <w:qFormat/>
    <w:rPr>
      <w:rFonts w:ascii="宋体" w:hAnsi="Courier New" w:eastAsia="楷体_GB2312" w:cs="Times New Roman"/>
      <w:sz w:val="26"/>
      <w:szCs w:val="20"/>
    </w:rPr>
  </w:style>
  <w:style w:type="paragraph" w:styleId="784">
    <w:name w:val="脚注文本"/>
    <w:basedOn w:val="760"/>
    <w:next w:val="759"/>
    <w:link w:val="741"/>
    <w:qFormat/>
    <w:pPr>
      <w:ind w:firstLine="3584"/>
      <w:spacing w:before="0" w:after="0" w:line="360" w:lineRule="auto"/>
    </w:pPr>
  </w:style>
  <w:style w:type="paragraph" w:styleId="785">
    <w:name w:val="目录 6"/>
    <w:basedOn w:val="741"/>
    <w:next w:val="741"/>
    <w:link w:val="741"/>
    <w:uiPriority w:val="39"/>
    <w:unhideWhenUsed/>
    <w:pPr>
      <w:ind w:left="1417" w:right="0" w:firstLine="0"/>
      <w:spacing w:after="57"/>
    </w:pPr>
  </w:style>
  <w:style w:type="paragraph" w:styleId="786">
    <w:name w:val="正文文本缩进 3"/>
    <w:basedOn w:val="741"/>
    <w:next w:val="786"/>
    <w:link w:val="787"/>
    <w:qFormat/>
    <w:pPr>
      <w:ind w:firstLine="480"/>
      <w:jc w:val="left"/>
      <w:spacing w:line="440" w:lineRule="atLeast"/>
    </w:pPr>
    <w:rPr>
      <w:sz w:val="24"/>
    </w:rPr>
  </w:style>
  <w:style w:type="character" w:styleId="787">
    <w:name w:val="正文文本缩进 3 字符"/>
    <w:next w:val="787"/>
    <w:link w:val="786"/>
    <w:qFormat/>
    <w:rPr>
      <w:rFonts w:ascii="Times New Roman" w:hAnsi="Times New Roman" w:eastAsia="宋体" w:cs="Times New Roman"/>
      <w:sz w:val="24"/>
      <w:szCs w:val="24"/>
    </w:rPr>
  </w:style>
  <w:style w:type="paragraph" w:styleId="788">
    <w:name w:val="图表目录"/>
    <w:basedOn w:val="741"/>
    <w:next w:val="741"/>
    <w:link w:val="741"/>
    <w:uiPriority w:val="99"/>
    <w:unhideWhenUsed/>
    <w:pPr>
      <w:spacing w:after="0" w:afterAutospacing="0"/>
    </w:pPr>
  </w:style>
  <w:style w:type="paragraph" w:styleId="789">
    <w:name w:val="目录 2"/>
    <w:basedOn w:val="741"/>
    <w:next w:val="741"/>
    <w:link w:val="741"/>
    <w:uiPriority w:val="39"/>
    <w:unhideWhenUsed/>
    <w:qFormat/>
    <w:pPr>
      <w:ind w:left="420"/>
    </w:pPr>
    <w:rPr>
      <w:sz w:val="28"/>
    </w:rPr>
  </w:style>
  <w:style w:type="paragraph" w:styleId="790">
    <w:name w:val="目录 9"/>
    <w:basedOn w:val="741"/>
    <w:next w:val="741"/>
    <w:link w:val="741"/>
    <w:uiPriority w:val="39"/>
    <w:unhideWhenUsed/>
    <w:pPr>
      <w:ind w:left="2268" w:right="0" w:firstLine="0"/>
      <w:spacing w:after="57"/>
    </w:pPr>
  </w:style>
  <w:style w:type="paragraph" w:styleId="791">
    <w:name w:val="普通(网站)"/>
    <w:basedOn w:val="741"/>
    <w:next w:val="791"/>
    <w:link w:val="741"/>
    <w:uiPriority w:val="99"/>
    <w:qFormat/>
    <w:pPr>
      <w:jc w:val="left"/>
      <w:spacing w:beforeAutospacing="1" w:afterAutospacing="1"/>
    </w:pPr>
    <w:rPr>
      <w:sz w:val="24"/>
    </w:rPr>
  </w:style>
  <w:style w:type="paragraph" w:styleId="792">
    <w:name w:val="标题"/>
    <w:basedOn w:val="741"/>
    <w:next w:val="741"/>
    <w:link w:val="793"/>
    <w:uiPriority w:val="10"/>
    <w:qFormat/>
    <w:pPr>
      <w:contextualSpacing/>
      <w:spacing w:before="300" w:after="200"/>
    </w:pPr>
    <w:rPr>
      <w:sz w:val="48"/>
      <w:szCs w:val="48"/>
    </w:rPr>
  </w:style>
  <w:style w:type="character" w:styleId="793">
    <w:name w:val="标题 字符"/>
    <w:next w:val="793"/>
    <w:link w:val="792"/>
    <w:uiPriority w:val="10"/>
    <w:rPr>
      <w:sz w:val="48"/>
      <w:szCs w:val="48"/>
    </w:rPr>
  </w:style>
  <w:style w:type="paragraph" w:styleId="794">
    <w:name w:val="正文首行缩进 2"/>
    <w:basedOn w:val="757"/>
    <w:next w:val="794"/>
    <w:link w:val="741"/>
    <w:qFormat/>
    <w:pPr>
      <w:ind w:left="420" w:firstLine="210"/>
      <w:spacing w:after="120" w:line="240" w:lineRule="auto"/>
    </w:pPr>
    <w:rPr>
      <w:rFonts w:eastAsia="仿宋_GB2312"/>
      <w:sz w:val="30"/>
    </w:rPr>
  </w:style>
  <w:style w:type="table" w:styleId="795">
    <w:name w:val="网格型"/>
    <w:basedOn w:val="744"/>
    <w:next w:val="795"/>
    <w:link w:val="741"/>
    <w:qFormat/>
    <w:pPr>
      <w:jc w:val="both"/>
      <w:widowControl w:val="off"/>
    </w:pPr>
    <w:tblPr/>
  </w:style>
  <w:style w:type="character" w:styleId="796">
    <w:name w:val="要点"/>
    <w:next w:val="796"/>
    <w:link w:val="741"/>
    <w:qFormat/>
    <w:rPr>
      <w:rFonts w:ascii="Calibri" w:hAnsi="Calibri" w:eastAsia="宋体" w:cs="Times New Roman"/>
      <w:b/>
    </w:rPr>
  </w:style>
  <w:style w:type="character" w:styleId="797">
    <w:name w:val="尾注引用"/>
    <w:next w:val="797"/>
    <w:link w:val="741"/>
    <w:uiPriority w:val="99"/>
    <w:unhideWhenUsed/>
    <w:rPr>
      <w:vertAlign w:val="superscript"/>
    </w:rPr>
  </w:style>
  <w:style w:type="character" w:styleId="798">
    <w:name w:val="已访问的超链接"/>
    <w:next w:val="798"/>
    <w:link w:val="741"/>
    <w:qFormat/>
    <w:rPr>
      <w:color w:val="337ab7"/>
      <w:u w:val="none"/>
    </w:rPr>
  </w:style>
  <w:style w:type="character" w:styleId="799">
    <w:name w:val="HTML 定义"/>
    <w:next w:val="799"/>
    <w:link w:val="741"/>
    <w:qFormat/>
    <w:rPr>
      <w:i/>
    </w:rPr>
  </w:style>
  <w:style w:type="character" w:styleId="800">
    <w:name w:val="超链接"/>
    <w:next w:val="800"/>
    <w:link w:val="741"/>
    <w:qFormat/>
    <w:rPr>
      <w:color w:val="337ab7"/>
      <w:u w:val="none"/>
    </w:rPr>
  </w:style>
  <w:style w:type="character" w:styleId="801">
    <w:name w:val="HTML 代码"/>
    <w:next w:val="801"/>
    <w:link w:val="741"/>
    <w:qFormat/>
    <w:rPr>
      <w:rFonts w:ascii="Consolas" w:hAnsi="Consolas" w:eastAsia="Consolas" w:cs="Consolas"/>
      <w:color w:val="c7254e"/>
      <w:sz w:val="21"/>
      <w:szCs w:val="21"/>
      <w:shd w:val="clear" w:color="auto" w:fill="f9f2f4"/>
    </w:rPr>
  </w:style>
  <w:style w:type="character" w:styleId="802">
    <w:name w:val="批注引用"/>
    <w:next w:val="802"/>
    <w:link w:val="741"/>
    <w:qFormat/>
    <w:rPr>
      <w:rFonts w:ascii="Calibri" w:hAnsi="Calibri" w:eastAsia="宋体" w:cs="Times New Roman"/>
      <w:sz w:val="21"/>
      <w:szCs w:val="21"/>
    </w:rPr>
  </w:style>
  <w:style w:type="character" w:styleId="803">
    <w:name w:val="脚注引用"/>
    <w:next w:val="803"/>
    <w:link w:val="741"/>
    <w:uiPriority w:val="99"/>
    <w:unhideWhenUsed/>
    <w:rPr>
      <w:vertAlign w:val="superscript"/>
    </w:rPr>
  </w:style>
  <w:style w:type="character" w:styleId="804">
    <w:name w:val="HTML 键盘"/>
    <w:next w:val="804"/>
    <w:link w:val="741"/>
    <w:qFormat/>
    <w:rPr>
      <w:rFonts w:ascii="Consolas" w:hAnsi="Consolas" w:eastAsia="Consolas" w:cs="Consolas"/>
      <w:color w:val="ffffff"/>
      <w:sz w:val="21"/>
      <w:szCs w:val="21"/>
      <w:shd w:val="clear" w:color="auto" w:fill="333333"/>
    </w:rPr>
  </w:style>
  <w:style w:type="character" w:styleId="805">
    <w:name w:val="HTML 样本"/>
    <w:next w:val="805"/>
    <w:link w:val="741"/>
    <w:qFormat/>
    <w:rPr>
      <w:rFonts w:ascii="Consolas" w:hAnsi="Consolas" w:eastAsia="Consolas" w:cs="Consolas"/>
      <w:sz w:val="21"/>
      <w:szCs w:val="21"/>
    </w:rPr>
  </w:style>
  <w:style w:type="character" w:styleId="806">
    <w:name w:val="Heading 1 Char"/>
    <w:next w:val="806"/>
    <w:link w:val="741"/>
    <w:uiPriority w:val="9"/>
    <w:rPr>
      <w:rFonts w:ascii="Arial" w:hAnsi="Arial" w:eastAsia="Arial" w:cs="Arial"/>
      <w:sz w:val="40"/>
      <w:szCs w:val="40"/>
    </w:rPr>
  </w:style>
  <w:style w:type="character" w:styleId="807">
    <w:name w:val="Heading 2 Char"/>
    <w:next w:val="807"/>
    <w:link w:val="741"/>
    <w:uiPriority w:val="9"/>
    <w:rPr>
      <w:rFonts w:ascii="Arial" w:hAnsi="Arial" w:eastAsia="Arial" w:cs="Arial"/>
      <w:sz w:val="34"/>
    </w:rPr>
  </w:style>
  <w:style w:type="character" w:styleId="808">
    <w:name w:val="Heading 3 Char"/>
    <w:next w:val="808"/>
    <w:link w:val="741"/>
    <w:uiPriority w:val="9"/>
    <w:rPr>
      <w:rFonts w:ascii="Arial" w:hAnsi="Arial" w:eastAsia="Arial" w:cs="Arial"/>
      <w:sz w:val="30"/>
      <w:szCs w:val="30"/>
    </w:rPr>
  </w:style>
  <w:style w:type="paragraph" w:styleId="809">
    <w:name w:val="Heading 4"/>
    <w:basedOn w:val="741"/>
    <w:next w:val="741"/>
    <w:link w:val="810"/>
    <w:uiPriority w:val="9"/>
    <w:unhideWhenUsed/>
    <w:qFormat/>
    <w:pPr>
      <w:keepLines/>
      <w:keepNext/>
      <w:spacing w:before="320" w:after="200"/>
      <w:outlineLvl w:val="3"/>
    </w:pPr>
    <w:rPr>
      <w:rFonts w:ascii="Arial" w:hAnsi="Arial" w:eastAsia="Arial" w:cs="Arial"/>
      <w:b/>
      <w:bCs/>
      <w:sz w:val="26"/>
      <w:szCs w:val="26"/>
    </w:rPr>
  </w:style>
  <w:style w:type="character" w:styleId="810">
    <w:name w:val="Heading 4 Char"/>
    <w:next w:val="810"/>
    <w:link w:val="809"/>
    <w:uiPriority w:val="9"/>
    <w:rPr>
      <w:rFonts w:ascii="Arial" w:hAnsi="Arial" w:eastAsia="Arial" w:cs="Arial"/>
      <w:b/>
      <w:bCs/>
      <w:sz w:val="26"/>
      <w:szCs w:val="26"/>
    </w:rPr>
  </w:style>
  <w:style w:type="character" w:styleId="811">
    <w:name w:val="Heading 5 Char"/>
    <w:next w:val="811"/>
    <w:link w:val="741"/>
    <w:uiPriority w:val="9"/>
    <w:rPr>
      <w:rFonts w:ascii="Arial" w:hAnsi="Arial" w:eastAsia="Arial" w:cs="Arial"/>
      <w:b/>
      <w:bCs/>
      <w:sz w:val="24"/>
      <w:szCs w:val="24"/>
    </w:rPr>
  </w:style>
  <w:style w:type="character" w:styleId="812">
    <w:name w:val="Heading 6 Char"/>
    <w:next w:val="812"/>
    <w:link w:val="741"/>
    <w:uiPriority w:val="9"/>
    <w:rPr>
      <w:rFonts w:ascii="Arial" w:hAnsi="Arial" w:eastAsia="Arial" w:cs="Arial"/>
      <w:b/>
      <w:bCs/>
      <w:sz w:val="22"/>
      <w:szCs w:val="22"/>
    </w:rPr>
  </w:style>
  <w:style w:type="paragraph" w:styleId="813">
    <w:name w:val="Heading 7"/>
    <w:basedOn w:val="741"/>
    <w:next w:val="741"/>
    <w:link w:val="814"/>
    <w:uiPriority w:val="9"/>
    <w:unhideWhenUsed/>
    <w:qFormat/>
    <w:pPr>
      <w:keepLines/>
      <w:keepNext/>
      <w:spacing w:before="320" w:after="200"/>
      <w:outlineLvl w:val="6"/>
    </w:pPr>
    <w:rPr>
      <w:rFonts w:ascii="Arial" w:hAnsi="Arial" w:eastAsia="Arial" w:cs="Arial"/>
      <w:b/>
      <w:bCs/>
      <w:i/>
      <w:iCs/>
      <w:sz w:val="22"/>
      <w:szCs w:val="22"/>
    </w:rPr>
  </w:style>
  <w:style w:type="character" w:styleId="814">
    <w:name w:val="Heading 7 Char"/>
    <w:next w:val="814"/>
    <w:link w:val="813"/>
    <w:uiPriority w:val="9"/>
    <w:rPr>
      <w:rFonts w:ascii="Arial" w:hAnsi="Arial" w:eastAsia="Arial" w:cs="Arial"/>
      <w:b/>
      <w:bCs/>
      <w:i/>
      <w:iCs/>
      <w:sz w:val="22"/>
      <w:szCs w:val="22"/>
    </w:rPr>
  </w:style>
  <w:style w:type="paragraph" w:styleId="815">
    <w:name w:val="Heading 8"/>
    <w:basedOn w:val="741"/>
    <w:next w:val="741"/>
    <w:link w:val="816"/>
    <w:uiPriority w:val="9"/>
    <w:unhideWhenUsed/>
    <w:qFormat/>
    <w:pPr>
      <w:keepLines/>
      <w:keepNext/>
      <w:spacing w:before="320" w:after="200"/>
      <w:outlineLvl w:val="7"/>
    </w:pPr>
    <w:rPr>
      <w:rFonts w:ascii="Arial" w:hAnsi="Arial" w:eastAsia="Arial" w:cs="Arial"/>
      <w:i/>
      <w:iCs/>
      <w:sz w:val="22"/>
      <w:szCs w:val="22"/>
    </w:rPr>
  </w:style>
  <w:style w:type="character" w:styleId="816">
    <w:name w:val="Heading 8 Char"/>
    <w:next w:val="816"/>
    <w:link w:val="815"/>
    <w:uiPriority w:val="9"/>
    <w:rPr>
      <w:rFonts w:ascii="Arial" w:hAnsi="Arial" w:eastAsia="Arial" w:cs="Arial"/>
      <w:i/>
      <w:iCs/>
      <w:sz w:val="22"/>
      <w:szCs w:val="22"/>
    </w:rPr>
  </w:style>
  <w:style w:type="paragraph" w:styleId="817">
    <w:name w:val="Heading 9"/>
    <w:basedOn w:val="741"/>
    <w:next w:val="741"/>
    <w:link w:val="818"/>
    <w:uiPriority w:val="9"/>
    <w:unhideWhenUsed/>
    <w:qFormat/>
    <w:pPr>
      <w:keepLines/>
      <w:keepNext/>
      <w:spacing w:before="320" w:after="200"/>
      <w:outlineLvl w:val="8"/>
    </w:pPr>
    <w:rPr>
      <w:rFonts w:ascii="Arial" w:hAnsi="Arial" w:eastAsia="Arial" w:cs="Arial"/>
      <w:i/>
      <w:iCs/>
      <w:sz w:val="21"/>
      <w:szCs w:val="21"/>
    </w:rPr>
  </w:style>
  <w:style w:type="character" w:styleId="818">
    <w:name w:val="Heading 9 Char"/>
    <w:next w:val="818"/>
    <w:link w:val="817"/>
    <w:uiPriority w:val="9"/>
    <w:rPr>
      <w:rFonts w:ascii="Arial" w:hAnsi="Arial" w:eastAsia="Arial" w:cs="Arial"/>
      <w:i/>
      <w:iCs/>
      <w:sz w:val="21"/>
      <w:szCs w:val="21"/>
    </w:rPr>
  </w:style>
  <w:style w:type="paragraph" w:styleId="819">
    <w:name w:val="无间隔"/>
    <w:next w:val="819"/>
    <w:link w:val="741"/>
    <w:uiPriority w:val="1"/>
    <w:qFormat/>
    <w:rPr>
      <w:lang w:val="en-US" w:eastAsia="zh-CN" w:bidi="ar-SA"/>
    </w:rPr>
  </w:style>
  <w:style w:type="character" w:styleId="820">
    <w:name w:val="Subtitle Char"/>
    <w:next w:val="820"/>
    <w:link w:val="741"/>
    <w:uiPriority w:val="11"/>
    <w:rPr>
      <w:sz w:val="24"/>
      <w:szCs w:val="24"/>
    </w:rPr>
  </w:style>
  <w:style w:type="paragraph" w:styleId="821">
    <w:name w:val="引用"/>
    <w:basedOn w:val="741"/>
    <w:next w:val="741"/>
    <w:link w:val="822"/>
    <w:uiPriority w:val="29"/>
    <w:qFormat/>
    <w:pPr>
      <w:ind w:left="720" w:right="720"/>
    </w:pPr>
    <w:rPr>
      <w:i/>
    </w:rPr>
  </w:style>
  <w:style w:type="character" w:styleId="822">
    <w:name w:val="引用 字符"/>
    <w:next w:val="822"/>
    <w:link w:val="821"/>
    <w:uiPriority w:val="29"/>
    <w:rPr>
      <w:i/>
    </w:rPr>
  </w:style>
  <w:style w:type="paragraph" w:styleId="823">
    <w:name w:val="明显引用"/>
    <w:basedOn w:val="741"/>
    <w:next w:val="741"/>
    <w:link w:val="82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4">
    <w:name w:val="明显引用 字符"/>
    <w:next w:val="824"/>
    <w:link w:val="823"/>
    <w:uiPriority w:val="30"/>
    <w:rPr>
      <w:i/>
    </w:rPr>
  </w:style>
  <w:style w:type="character" w:styleId="825">
    <w:name w:val="Header Char"/>
    <w:next w:val="825"/>
    <w:link w:val="741"/>
    <w:uiPriority w:val="99"/>
  </w:style>
  <w:style w:type="character" w:styleId="826">
    <w:name w:val="Footer Char"/>
    <w:next w:val="826"/>
    <w:link w:val="741"/>
    <w:uiPriority w:val="99"/>
  </w:style>
  <w:style w:type="paragraph" w:styleId="827">
    <w:name w:val="Caption1"/>
    <w:basedOn w:val="741"/>
    <w:next w:val="741"/>
    <w:link w:val="741"/>
    <w:uiPriority w:val="35"/>
    <w:unhideWhenUsed/>
    <w:qFormat/>
    <w:pPr>
      <w:spacing w:line="276" w:lineRule="auto"/>
    </w:pPr>
    <w:rPr>
      <w:b/>
      <w:bCs/>
      <w:color w:val="5b9bd5"/>
      <w:sz w:val="18"/>
      <w:szCs w:val="18"/>
    </w:rPr>
  </w:style>
  <w:style w:type="character" w:styleId="828">
    <w:name w:val="Caption Char"/>
    <w:next w:val="828"/>
    <w:link w:val="741"/>
    <w:uiPriority w:val="99"/>
  </w:style>
  <w:style w:type="table" w:styleId="829">
    <w:name w:val="Table Grid Light"/>
    <w:basedOn w:val="744"/>
    <w:next w:val="829"/>
    <w:link w:val="741"/>
    <w:uiPriority w:val="59"/>
    <w:pPr>
      <w:spacing w:after="0" w:line="240" w:lineRule="auto"/>
    </w:pPr>
    <w:tblPr/>
  </w:style>
  <w:style w:type="table" w:styleId="830">
    <w:name w:val="无格式表格 1"/>
    <w:basedOn w:val="744"/>
    <w:next w:val="830"/>
    <w:link w:val="741"/>
    <w:uiPriority w:val="59"/>
    <w:pPr>
      <w:spacing w:after="0" w:line="240" w:lineRule="auto"/>
    </w:pPr>
    <w:tblPr/>
  </w:style>
  <w:style w:type="table" w:styleId="831">
    <w:name w:val="无格式表格 2"/>
    <w:basedOn w:val="744"/>
    <w:next w:val="831"/>
    <w:link w:val="741"/>
    <w:uiPriority w:val="59"/>
    <w:pPr>
      <w:spacing w:after="0" w:line="240" w:lineRule="auto"/>
    </w:pPr>
    <w:tblPr/>
  </w:style>
  <w:style w:type="table" w:styleId="832">
    <w:name w:val="无格式表格 3"/>
    <w:basedOn w:val="744"/>
    <w:next w:val="832"/>
    <w:link w:val="741"/>
    <w:uiPriority w:val="99"/>
    <w:pPr>
      <w:spacing w:after="0" w:line="240" w:lineRule="auto"/>
    </w:pPr>
    <w:tblPr/>
  </w:style>
  <w:style w:type="table" w:styleId="833">
    <w:name w:val="无格式表格 4"/>
    <w:basedOn w:val="744"/>
    <w:next w:val="833"/>
    <w:link w:val="741"/>
    <w:uiPriority w:val="99"/>
    <w:pPr>
      <w:spacing w:after="0" w:line="240" w:lineRule="auto"/>
    </w:pPr>
    <w:tblPr/>
  </w:style>
  <w:style w:type="table" w:styleId="834">
    <w:name w:val="无格式表格 5"/>
    <w:basedOn w:val="744"/>
    <w:next w:val="834"/>
    <w:link w:val="741"/>
    <w:uiPriority w:val="99"/>
    <w:pPr>
      <w:spacing w:after="0" w:line="240" w:lineRule="auto"/>
    </w:pPr>
    <w:tblPr/>
  </w:style>
  <w:style w:type="table" w:styleId="835">
    <w:name w:val="网格表 1 浅色"/>
    <w:basedOn w:val="744"/>
    <w:next w:val="835"/>
    <w:link w:val="741"/>
    <w:uiPriority w:val="99"/>
    <w:pPr>
      <w:spacing w:after="0" w:line="240" w:lineRule="auto"/>
    </w:pPr>
    <w:tblPr/>
  </w:style>
  <w:style w:type="table" w:styleId="836">
    <w:name w:val="Grid Table 1 Light - Accent 1"/>
    <w:basedOn w:val="744"/>
    <w:next w:val="836"/>
    <w:link w:val="741"/>
    <w:uiPriority w:val="99"/>
    <w:pPr>
      <w:spacing w:after="0" w:line="240" w:lineRule="auto"/>
    </w:pPr>
    <w:tblPr/>
  </w:style>
  <w:style w:type="table" w:styleId="837">
    <w:name w:val="Grid Table 1 Light - Accent 2"/>
    <w:basedOn w:val="744"/>
    <w:next w:val="837"/>
    <w:link w:val="741"/>
    <w:uiPriority w:val="99"/>
    <w:pPr>
      <w:spacing w:after="0" w:line="240" w:lineRule="auto"/>
    </w:pPr>
    <w:tblPr/>
  </w:style>
  <w:style w:type="table" w:styleId="838">
    <w:name w:val="Grid Table 1 Light - Accent 3"/>
    <w:basedOn w:val="744"/>
    <w:next w:val="838"/>
    <w:link w:val="741"/>
    <w:uiPriority w:val="99"/>
    <w:pPr>
      <w:spacing w:after="0" w:line="240" w:lineRule="auto"/>
    </w:pPr>
    <w:tblPr/>
  </w:style>
  <w:style w:type="table" w:styleId="839">
    <w:name w:val="Grid Table 1 Light - Accent 4"/>
    <w:basedOn w:val="744"/>
    <w:next w:val="839"/>
    <w:link w:val="741"/>
    <w:uiPriority w:val="99"/>
    <w:pPr>
      <w:spacing w:after="0" w:line="240" w:lineRule="auto"/>
    </w:pPr>
    <w:tblPr/>
  </w:style>
  <w:style w:type="table" w:styleId="840">
    <w:name w:val="Grid Table 1 Light - Accent 5"/>
    <w:basedOn w:val="744"/>
    <w:next w:val="840"/>
    <w:link w:val="741"/>
    <w:uiPriority w:val="99"/>
    <w:pPr>
      <w:spacing w:after="0" w:line="240" w:lineRule="auto"/>
    </w:pPr>
    <w:tblPr/>
  </w:style>
  <w:style w:type="table" w:styleId="841">
    <w:name w:val="Grid Table 1 Light - Accent 6"/>
    <w:basedOn w:val="744"/>
    <w:next w:val="841"/>
    <w:link w:val="741"/>
    <w:uiPriority w:val="99"/>
    <w:pPr>
      <w:spacing w:after="0" w:line="240" w:lineRule="auto"/>
    </w:pPr>
    <w:tblPr/>
  </w:style>
  <w:style w:type="table" w:styleId="842">
    <w:name w:val="网格表 2"/>
    <w:basedOn w:val="744"/>
    <w:next w:val="842"/>
    <w:link w:val="741"/>
    <w:uiPriority w:val="99"/>
    <w:pPr>
      <w:spacing w:after="0" w:line="240" w:lineRule="auto"/>
    </w:pPr>
    <w:tblPr/>
  </w:style>
  <w:style w:type="table" w:styleId="843">
    <w:name w:val="Grid Table 2 - Accent 1"/>
    <w:basedOn w:val="744"/>
    <w:next w:val="843"/>
    <w:link w:val="741"/>
    <w:uiPriority w:val="99"/>
    <w:pPr>
      <w:spacing w:after="0" w:line="240" w:lineRule="auto"/>
    </w:pPr>
    <w:tblPr/>
  </w:style>
  <w:style w:type="table" w:styleId="844">
    <w:name w:val="Grid Table 2 - Accent 2"/>
    <w:basedOn w:val="744"/>
    <w:next w:val="844"/>
    <w:link w:val="741"/>
    <w:uiPriority w:val="99"/>
    <w:pPr>
      <w:spacing w:after="0" w:line="240" w:lineRule="auto"/>
    </w:pPr>
    <w:tblPr/>
  </w:style>
  <w:style w:type="table" w:styleId="845">
    <w:name w:val="Grid Table 2 - Accent 3"/>
    <w:basedOn w:val="744"/>
    <w:next w:val="845"/>
    <w:link w:val="741"/>
    <w:uiPriority w:val="99"/>
    <w:pPr>
      <w:spacing w:after="0" w:line="240" w:lineRule="auto"/>
    </w:pPr>
    <w:tblPr/>
  </w:style>
  <w:style w:type="table" w:styleId="846">
    <w:name w:val="Grid Table 2 - Accent 4"/>
    <w:basedOn w:val="744"/>
    <w:next w:val="846"/>
    <w:link w:val="741"/>
    <w:uiPriority w:val="99"/>
    <w:pPr>
      <w:spacing w:after="0" w:line="240" w:lineRule="auto"/>
    </w:pPr>
    <w:tblPr/>
  </w:style>
  <w:style w:type="table" w:styleId="847">
    <w:name w:val="Grid Table 2 - Accent 5"/>
    <w:basedOn w:val="744"/>
    <w:next w:val="847"/>
    <w:link w:val="741"/>
    <w:uiPriority w:val="99"/>
    <w:pPr>
      <w:spacing w:after="0" w:line="240" w:lineRule="auto"/>
    </w:pPr>
    <w:tblPr/>
  </w:style>
  <w:style w:type="table" w:styleId="848">
    <w:name w:val="Grid Table 2 - Accent 6"/>
    <w:basedOn w:val="744"/>
    <w:next w:val="848"/>
    <w:link w:val="741"/>
    <w:uiPriority w:val="99"/>
    <w:pPr>
      <w:spacing w:after="0" w:line="240" w:lineRule="auto"/>
    </w:pPr>
    <w:tblPr/>
  </w:style>
  <w:style w:type="table" w:styleId="849">
    <w:name w:val="网格表 3"/>
    <w:basedOn w:val="744"/>
    <w:next w:val="849"/>
    <w:link w:val="741"/>
    <w:uiPriority w:val="99"/>
    <w:pPr>
      <w:spacing w:after="0" w:line="240" w:lineRule="auto"/>
    </w:pPr>
    <w:tblPr/>
  </w:style>
  <w:style w:type="table" w:styleId="850">
    <w:name w:val="Grid Table 3 - Accent 1"/>
    <w:basedOn w:val="744"/>
    <w:next w:val="850"/>
    <w:link w:val="741"/>
    <w:uiPriority w:val="99"/>
    <w:pPr>
      <w:spacing w:after="0" w:line="240" w:lineRule="auto"/>
    </w:pPr>
    <w:tblPr/>
  </w:style>
  <w:style w:type="table" w:styleId="851">
    <w:name w:val="Grid Table 3 - Accent 2"/>
    <w:basedOn w:val="744"/>
    <w:next w:val="851"/>
    <w:link w:val="741"/>
    <w:uiPriority w:val="99"/>
    <w:pPr>
      <w:spacing w:after="0" w:line="240" w:lineRule="auto"/>
    </w:pPr>
    <w:tblPr/>
  </w:style>
  <w:style w:type="table" w:styleId="852">
    <w:name w:val="Grid Table 3 - Accent 3"/>
    <w:basedOn w:val="744"/>
    <w:next w:val="852"/>
    <w:link w:val="741"/>
    <w:uiPriority w:val="99"/>
    <w:pPr>
      <w:spacing w:after="0" w:line="240" w:lineRule="auto"/>
    </w:pPr>
    <w:tblPr/>
  </w:style>
  <w:style w:type="table" w:styleId="853">
    <w:name w:val="Grid Table 3 - Accent 4"/>
    <w:basedOn w:val="744"/>
    <w:next w:val="853"/>
    <w:link w:val="741"/>
    <w:uiPriority w:val="99"/>
    <w:pPr>
      <w:spacing w:after="0" w:line="240" w:lineRule="auto"/>
    </w:pPr>
    <w:tblPr/>
  </w:style>
  <w:style w:type="table" w:styleId="854">
    <w:name w:val="Grid Table 3 - Accent 5"/>
    <w:basedOn w:val="744"/>
    <w:next w:val="854"/>
    <w:link w:val="741"/>
    <w:uiPriority w:val="99"/>
    <w:pPr>
      <w:spacing w:after="0" w:line="240" w:lineRule="auto"/>
    </w:pPr>
    <w:tblPr/>
  </w:style>
  <w:style w:type="table" w:styleId="855">
    <w:name w:val="Grid Table 3 - Accent 6"/>
    <w:basedOn w:val="744"/>
    <w:next w:val="855"/>
    <w:link w:val="741"/>
    <w:uiPriority w:val="99"/>
    <w:pPr>
      <w:spacing w:after="0" w:line="240" w:lineRule="auto"/>
    </w:pPr>
    <w:tblPr/>
  </w:style>
  <w:style w:type="table" w:styleId="856">
    <w:name w:val="网格表 4"/>
    <w:basedOn w:val="744"/>
    <w:next w:val="856"/>
    <w:link w:val="741"/>
    <w:uiPriority w:val="59"/>
    <w:pPr>
      <w:spacing w:after="0" w:line="240" w:lineRule="auto"/>
    </w:pPr>
    <w:tblPr/>
  </w:style>
  <w:style w:type="table" w:styleId="857">
    <w:name w:val="Grid Table 4 - Accent 1"/>
    <w:basedOn w:val="744"/>
    <w:next w:val="857"/>
    <w:link w:val="741"/>
    <w:uiPriority w:val="59"/>
    <w:pPr>
      <w:spacing w:after="0" w:line="240" w:lineRule="auto"/>
    </w:pPr>
    <w:tblPr/>
  </w:style>
  <w:style w:type="table" w:styleId="858">
    <w:name w:val="Grid Table 4 - Accent 2"/>
    <w:basedOn w:val="744"/>
    <w:next w:val="858"/>
    <w:link w:val="741"/>
    <w:uiPriority w:val="59"/>
    <w:pPr>
      <w:spacing w:after="0" w:line="240" w:lineRule="auto"/>
    </w:pPr>
    <w:tblPr/>
  </w:style>
  <w:style w:type="table" w:styleId="859">
    <w:name w:val="Grid Table 4 - Accent 3"/>
    <w:basedOn w:val="744"/>
    <w:next w:val="859"/>
    <w:link w:val="741"/>
    <w:uiPriority w:val="59"/>
    <w:pPr>
      <w:spacing w:after="0" w:line="240" w:lineRule="auto"/>
    </w:pPr>
    <w:tblPr/>
  </w:style>
  <w:style w:type="table" w:styleId="860">
    <w:name w:val="Grid Table 4 - Accent 4"/>
    <w:basedOn w:val="744"/>
    <w:next w:val="860"/>
    <w:link w:val="741"/>
    <w:uiPriority w:val="59"/>
    <w:pPr>
      <w:spacing w:after="0" w:line="240" w:lineRule="auto"/>
    </w:pPr>
    <w:tblPr/>
  </w:style>
  <w:style w:type="table" w:styleId="861">
    <w:name w:val="Grid Table 4 - Accent 5"/>
    <w:basedOn w:val="744"/>
    <w:next w:val="861"/>
    <w:link w:val="741"/>
    <w:uiPriority w:val="59"/>
    <w:pPr>
      <w:spacing w:after="0" w:line="240" w:lineRule="auto"/>
    </w:pPr>
    <w:tblPr/>
  </w:style>
  <w:style w:type="table" w:styleId="862">
    <w:name w:val="Grid Table 4 - Accent 6"/>
    <w:basedOn w:val="744"/>
    <w:next w:val="862"/>
    <w:link w:val="741"/>
    <w:uiPriority w:val="59"/>
    <w:pPr>
      <w:spacing w:after="0" w:line="240" w:lineRule="auto"/>
    </w:pPr>
    <w:tblPr/>
  </w:style>
  <w:style w:type="table" w:styleId="863">
    <w:name w:val="网格表 5 深色"/>
    <w:basedOn w:val="744"/>
    <w:next w:val="863"/>
    <w:link w:val="741"/>
    <w:uiPriority w:val="99"/>
    <w:pPr>
      <w:spacing w:after="0" w:line="240" w:lineRule="auto"/>
    </w:pPr>
    <w:tblPr/>
  </w:style>
  <w:style w:type="table" w:styleId="864">
    <w:name w:val="Grid Table 5 Dark- Accent 1"/>
    <w:basedOn w:val="744"/>
    <w:next w:val="864"/>
    <w:link w:val="741"/>
    <w:uiPriority w:val="99"/>
    <w:pPr>
      <w:spacing w:after="0" w:line="240" w:lineRule="auto"/>
    </w:pPr>
    <w:tblPr/>
  </w:style>
  <w:style w:type="table" w:styleId="865">
    <w:name w:val="Grid Table 5 Dark - Accent 2"/>
    <w:basedOn w:val="744"/>
    <w:next w:val="865"/>
    <w:link w:val="741"/>
    <w:uiPriority w:val="99"/>
    <w:pPr>
      <w:spacing w:after="0" w:line="240" w:lineRule="auto"/>
    </w:pPr>
    <w:tblPr/>
  </w:style>
  <w:style w:type="table" w:styleId="866">
    <w:name w:val="Grid Table 5 Dark - Accent 3"/>
    <w:basedOn w:val="744"/>
    <w:next w:val="866"/>
    <w:link w:val="741"/>
    <w:uiPriority w:val="99"/>
    <w:pPr>
      <w:spacing w:after="0" w:line="240" w:lineRule="auto"/>
    </w:pPr>
    <w:tblPr/>
  </w:style>
  <w:style w:type="table" w:styleId="867">
    <w:name w:val="Grid Table 5 Dark- Accent 4"/>
    <w:basedOn w:val="744"/>
    <w:next w:val="867"/>
    <w:link w:val="741"/>
    <w:uiPriority w:val="99"/>
    <w:pPr>
      <w:spacing w:after="0" w:line="240" w:lineRule="auto"/>
    </w:pPr>
    <w:tblPr/>
  </w:style>
  <w:style w:type="table" w:styleId="868">
    <w:name w:val="Grid Table 5 Dark - Accent 5"/>
    <w:basedOn w:val="744"/>
    <w:next w:val="868"/>
    <w:link w:val="741"/>
    <w:uiPriority w:val="99"/>
    <w:pPr>
      <w:spacing w:after="0" w:line="240" w:lineRule="auto"/>
    </w:pPr>
    <w:tblPr/>
  </w:style>
  <w:style w:type="table" w:styleId="869">
    <w:name w:val="Grid Table 5 Dark - Accent 6"/>
    <w:basedOn w:val="744"/>
    <w:next w:val="869"/>
    <w:link w:val="741"/>
    <w:uiPriority w:val="99"/>
    <w:pPr>
      <w:spacing w:after="0" w:line="240" w:lineRule="auto"/>
    </w:pPr>
    <w:tblPr/>
  </w:style>
  <w:style w:type="table" w:styleId="870">
    <w:name w:val="网格表 6 彩色"/>
    <w:basedOn w:val="744"/>
    <w:next w:val="870"/>
    <w:link w:val="741"/>
    <w:uiPriority w:val="99"/>
    <w:pPr>
      <w:spacing w:after="0" w:line="240" w:lineRule="auto"/>
    </w:pPr>
    <w:tblPr/>
  </w:style>
  <w:style w:type="table" w:styleId="871">
    <w:name w:val="Grid Table 6 Colorful - Accent 1"/>
    <w:basedOn w:val="744"/>
    <w:next w:val="871"/>
    <w:link w:val="741"/>
    <w:uiPriority w:val="99"/>
    <w:pPr>
      <w:spacing w:after="0" w:line="240" w:lineRule="auto"/>
    </w:pPr>
    <w:tblPr/>
  </w:style>
  <w:style w:type="table" w:styleId="872">
    <w:name w:val="Grid Table 6 Colorful - Accent 2"/>
    <w:basedOn w:val="744"/>
    <w:next w:val="872"/>
    <w:link w:val="741"/>
    <w:uiPriority w:val="99"/>
    <w:pPr>
      <w:spacing w:after="0" w:line="240" w:lineRule="auto"/>
    </w:pPr>
    <w:tblPr/>
  </w:style>
  <w:style w:type="table" w:styleId="873">
    <w:name w:val="Grid Table 6 Colorful - Accent 3"/>
    <w:basedOn w:val="744"/>
    <w:next w:val="873"/>
    <w:link w:val="741"/>
    <w:uiPriority w:val="99"/>
    <w:pPr>
      <w:spacing w:after="0" w:line="240" w:lineRule="auto"/>
    </w:pPr>
    <w:tblPr/>
  </w:style>
  <w:style w:type="table" w:styleId="874">
    <w:name w:val="Grid Table 6 Colorful - Accent 4"/>
    <w:basedOn w:val="744"/>
    <w:next w:val="874"/>
    <w:link w:val="741"/>
    <w:uiPriority w:val="99"/>
    <w:pPr>
      <w:spacing w:after="0" w:line="240" w:lineRule="auto"/>
    </w:pPr>
    <w:tblPr/>
  </w:style>
  <w:style w:type="table" w:styleId="875">
    <w:name w:val="Grid Table 6 Colorful - Accent 5"/>
    <w:basedOn w:val="744"/>
    <w:next w:val="875"/>
    <w:link w:val="741"/>
    <w:uiPriority w:val="99"/>
    <w:pPr>
      <w:spacing w:after="0" w:line="240" w:lineRule="auto"/>
    </w:pPr>
    <w:tblPr/>
  </w:style>
  <w:style w:type="table" w:styleId="876">
    <w:name w:val="Grid Table 6 Colorful - Accent 6"/>
    <w:basedOn w:val="744"/>
    <w:next w:val="876"/>
    <w:link w:val="741"/>
    <w:uiPriority w:val="99"/>
    <w:pPr>
      <w:spacing w:after="0" w:line="240" w:lineRule="auto"/>
    </w:pPr>
    <w:tblPr/>
  </w:style>
  <w:style w:type="table" w:styleId="877">
    <w:name w:val="网格表 7 彩色"/>
    <w:basedOn w:val="744"/>
    <w:next w:val="877"/>
    <w:link w:val="741"/>
    <w:uiPriority w:val="99"/>
    <w:pPr>
      <w:spacing w:after="0" w:line="240" w:lineRule="auto"/>
    </w:pPr>
    <w:tblPr/>
  </w:style>
  <w:style w:type="table" w:styleId="878">
    <w:name w:val="Grid Table 7 Colorful - Accent 1"/>
    <w:basedOn w:val="744"/>
    <w:next w:val="878"/>
    <w:link w:val="741"/>
    <w:uiPriority w:val="99"/>
    <w:pPr>
      <w:spacing w:after="0" w:line="240" w:lineRule="auto"/>
    </w:pPr>
    <w:tblPr/>
  </w:style>
  <w:style w:type="table" w:styleId="879">
    <w:name w:val="Grid Table 7 Colorful - Accent 2"/>
    <w:basedOn w:val="744"/>
    <w:next w:val="879"/>
    <w:link w:val="741"/>
    <w:uiPriority w:val="99"/>
    <w:pPr>
      <w:spacing w:after="0" w:line="240" w:lineRule="auto"/>
    </w:pPr>
    <w:tblPr/>
  </w:style>
  <w:style w:type="table" w:styleId="880">
    <w:name w:val="Grid Table 7 Colorful - Accent 3"/>
    <w:basedOn w:val="744"/>
    <w:next w:val="880"/>
    <w:link w:val="741"/>
    <w:uiPriority w:val="99"/>
    <w:pPr>
      <w:spacing w:after="0" w:line="240" w:lineRule="auto"/>
    </w:pPr>
    <w:tblPr/>
  </w:style>
  <w:style w:type="table" w:styleId="881">
    <w:name w:val="Grid Table 7 Colorful - Accent 4"/>
    <w:basedOn w:val="744"/>
    <w:next w:val="881"/>
    <w:link w:val="741"/>
    <w:uiPriority w:val="99"/>
    <w:pPr>
      <w:spacing w:after="0" w:line="240" w:lineRule="auto"/>
    </w:pPr>
    <w:tblPr/>
  </w:style>
  <w:style w:type="table" w:styleId="882">
    <w:name w:val="Grid Table 7 Colorful - Accent 5"/>
    <w:basedOn w:val="744"/>
    <w:next w:val="882"/>
    <w:link w:val="741"/>
    <w:uiPriority w:val="99"/>
    <w:pPr>
      <w:spacing w:after="0" w:line="240" w:lineRule="auto"/>
    </w:pPr>
    <w:tblPr/>
  </w:style>
  <w:style w:type="table" w:styleId="883">
    <w:name w:val="Grid Table 7 Colorful - Accent 6"/>
    <w:basedOn w:val="744"/>
    <w:next w:val="883"/>
    <w:link w:val="741"/>
    <w:uiPriority w:val="99"/>
    <w:pPr>
      <w:spacing w:after="0" w:line="240" w:lineRule="auto"/>
    </w:pPr>
    <w:tblPr/>
  </w:style>
  <w:style w:type="table" w:styleId="884">
    <w:name w:val="清单表 1 浅色"/>
    <w:basedOn w:val="744"/>
    <w:next w:val="884"/>
    <w:link w:val="741"/>
    <w:uiPriority w:val="99"/>
    <w:pPr>
      <w:spacing w:after="0" w:line="240" w:lineRule="auto"/>
    </w:pPr>
    <w:tblPr/>
  </w:style>
  <w:style w:type="table" w:styleId="885">
    <w:name w:val="List Table 1 Light - Accent 1"/>
    <w:basedOn w:val="744"/>
    <w:next w:val="885"/>
    <w:link w:val="741"/>
    <w:uiPriority w:val="99"/>
    <w:pPr>
      <w:spacing w:after="0" w:line="240" w:lineRule="auto"/>
    </w:pPr>
    <w:tblPr/>
  </w:style>
  <w:style w:type="table" w:styleId="886">
    <w:name w:val="List Table 1 Light - Accent 2"/>
    <w:basedOn w:val="744"/>
    <w:next w:val="886"/>
    <w:link w:val="741"/>
    <w:uiPriority w:val="99"/>
    <w:pPr>
      <w:spacing w:after="0" w:line="240" w:lineRule="auto"/>
    </w:pPr>
    <w:tblPr/>
  </w:style>
  <w:style w:type="table" w:styleId="887">
    <w:name w:val="List Table 1 Light - Accent 3"/>
    <w:basedOn w:val="744"/>
    <w:next w:val="887"/>
    <w:link w:val="741"/>
    <w:uiPriority w:val="99"/>
    <w:pPr>
      <w:spacing w:after="0" w:line="240" w:lineRule="auto"/>
    </w:pPr>
    <w:tblPr/>
  </w:style>
  <w:style w:type="table" w:styleId="888">
    <w:name w:val="List Table 1 Light - Accent 4"/>
    <w:basedOn w:val="744"/>
    <w:next w:val="888"/>
    <w:link w:val="741"/>
    <w:uiPriority w:val="99"/>
    <w:pPr>
      <w:spacing w:after="0" w:line="240" w:lineRule="auto"/>
    </w:pPr>
    <w:tblPr/>
  </w:style>
  <w:style w:type="table" w:styleId="889">
    <w:name w:val="List Table 1 Light - Accent 5"/>
    <w:basedOn w:val="744"/>
    <w:next w:val="889"/>
    <w:link w:val="741"/>
    <w:uiPriority w:val="99"/>
    <w:pPr>
      <w:spacing w:after="0" w:line="240" w:lineRule="auto"/>
    </w:pPr>
    <w:tblPr/>
  </w:style>
  <w:style w:type="table" w:styleId="890">
    <w:name w:val="List Table 1 Light - Accent 6"/>
    <w:basedOn w:val="744"/>
    <w:next w:val="890"/>
    <w:link w:val="741"/>
    <w:uiPriority w:val="99"/>
    <w:pPr>
      <w:spacing w:after="0" w:line="240" w:lineRule="auto"/>
    </w:pPr>
    <w:tblPr/>
  </w:style>
  <w:style w:type="table" w:styleId="891">
    <w:name w:val="清单表 2"/>
    <w:basedOn w:val="744"/>
    <w:next w:val="891"/>
    <w:link w:val="741"/>
    <w:uiPriority w:val="99"/>
    <w:pPr>
      <w:spacing w:after="0" w:line="240" w:lineRule="auto"/>
    </w:pPr>
    <w:tblPr/>
  </w:style>
  <w:style w:type="table" w:styleId="892">
    <w:name w:val="List Table 2 - Accent 1"/>
    <w:basedOn w:val="744"/>
    <w:next w:val="892"/>
    <w:link w:val="741"/>
    <w:uiPriority w:val="99"/>
    <w:pPr>
      <w:spacing w:after="0" w:line="240" w:lineRule="auto"/>
    </w:pPr>
    <w:tblPr/>
  </w:style>
  <w:style w:type="table" w:styleId="893">
    <w:name w:val="List Table 2 - Accent 2"/>
    <w:basedOn w:val="744"/>
    <w:next w:val="893"/>
    <w:link w:val="741"/>
    <w:uiPriority w:val="99"/>
    <w:pPr>
      <w:spacing w:after="0" w:line="240" w:lineRule="auto"/>
    </w:pPr>
    <w:tblPr/>
  </w:style>
  <w:style w:type="table" w:styleId="894">
    <w:name w:val="List Table 2 - Accent 3"/>
    <w:basedOn w:val="744"/>
    <w:next w:val="894"/>
    <w:link w:val="741"/>
    <w:uiPriority w:val="99"/>
    <w:pPr>
      <w:spacing w:after="0" w:line="240" w:lineRule="auto"/>
    </w:pPr>
    <w:tblPr/>
  </w:style>
  <w:style w:type="table" w:styleId="895">
    <w:name w:val="List Table 2 - Accent 4"/>
    <w:basedOn w:val="744"/>
    <w:next w:val="895"/>
    <w:link w:val="741"/>
    <w:uiPriority w:val="99"/>
    <w:pPr>
      <w:spacing w:after="0" w:line="240" w:lineRule="auto"/>
    </w:pPr>
    <w:tblPr/>
  </w:style>
  <w:style w:type="table" w:styleId="896">
    <w:name w:val="List Table 2 - Accent 5"/>
    <w:basedOn w:val="744"/>
    <w:next w:val="896"/>
    <w:link w:val="741"/>
    <w:uiPriority w:val="99"/>
    <w:pPr>
      <w:spacing w:after="0" w:line="240" w:lineRule="auto"/>
    </w:pPr>
    <w:tblPr/>
  </w:style>
  <w:style w:type="table" w:styleId="897">
    <w:name w:val="List Table 2 - Accent 6"/>
    <w:basedOn w:val="744"/>
    <w:next w:val="897"/>
    <w:link w:val="741"/>
    <w:uiPriority w:val="99"/>
    <w:pPr>
      <w:spacing w:after="0" w:line="240" w:lineRule="auto"/>
    </w:pPr>
    <w:tblPr/>
  </w:style>
  <w:style w:type="table" w:styleId="898">
    <w:name w:val="清单表 3"/>
    <w:basedOn w:val="744"/>
    <w:next w:val="898"/>
    <w:link w:val="741"/>
    <w:uiPriority w:val="99"/>
    <w:pPr>
      <w:spacing w:after="0" w:line="240" w:lineRule="auto"/>
    </w:pPr>
    <w:tblPr/>
  </w:style>
  <w:style w:type="table" w:styleId="899">
    <w:name w:val="List Table 3 - Accent 1"/>
    <w:basedOn w:val="744"/>
    <w:next w:val="899"/>
    <w:link w:val="741"/>
    <w:uiPriority w:val="99"/>
    <w:pPr>
      <w:spacing w:after="0" w:line="240" w:lineRule="auto"/>
    </w:pPr>
    <w:tblPr/>
  </w:style>
  <w:style w:type="table" w:styleId="900">
    <w:name w:val="List Table 3 - Accent 2"/>
    <w:basedOn w:val="744"/>
    <w:next w:val="900"/>
    <w:link w:val="741"/>
    <w:uiPriority w:val="99"/>
    <w:pPr>
      <w:spacing w:after="0" w:line="240" w:lineRule="auto"/>
    </w:pPr>
    <w:tblPr/>
  </w:style>
  <w:style w:type="table" w:styleId="901">
    <w:name w:val="List Table 3 - Accent 3"/>
    <w:basedOn w:val="744"/>
    <w:next w:val="901"/>
    <w:link w:val="741"/>
    <w:uiPriority w:val="99"/>
    <w:pPr>
      <w:spacing w:after="0" w:line="240" w:lineRule="auto"/>
    </w:pPr>
    <w:tblPr/>
  </w:style>
  <w:style w:type="table" w:styleId="902">
    <w:name w:val="List Table 3 - Accent 4"/>
    <w:basedOn w:val="744"/>
    <w:next w:val="902"/>
    <w:link w:val="741"/>
    <w:uiPriority w:val="99"/>
    <w:pPr>
      <w:spacing w:after="0" w:line="240" w:lineRule="auto"/>
    </w:pPr>
    <w:tblPr/>
  </w:style>
  <w:style w:type="table" w:styleId="903">
    <w:name w:val="List Table 3 - Accent 5"/>
    <w:basedOn w:val="744"/>
    <w:next w:val="903"/>
    <w:link w:val="741"/>
    <w:uiPriority w:val="99"/>
    <w:pPr>
      <w:spacing w:after="0" w:line="240" w:lineRule="auto"/>
    </w:pPr>
    <w:tblPr/>
  </w:style>
  <w:style w:type="table" w:styleId="904">
    <w:name w:val="List Table 3 - Accent 6"/>
    <w:basedOn w:val="744"/>
    <w:next w:val="904"/>
    <w:link w:val="741"/>
    <w:uiPriority w:val="99"/>
    <w:pPr>
      <w:spacing w:after="0" w:line="240" w:lineRule="auto"/>
    </w:pPr>
    <w:tblPr/>
  </w:style>
  <w:style w:type="table" w:styleId="905">
    <w:name w:val="清单表 4"/>
    <w:basedOn w:val="744"/>
    <w:next w:val="905"/>
    <w:link w:val="741"/>
    <w:uiPriority w:val="99"/>
    <w:pPr>
      <w:spacing w:after="0" w:line="240" w:lineRule="auto"/>
    </w:pPr>
    <w:tblPr/>
  </w:style>
  <w:style w:type="table" w:styleId="906">
    <w:name w:val="List Table 4 - Accent 1"/>
    <w:basedOn w:val="744"/>
    <w:next w:val="906"/>
    <w:link w:val="741"/>
    <w:uiPriority w:val="99"/>
    <w:pPr>
      <w:spacing w:after="0" w:line="240" w:lineRule="auto"/>
    </w:pPr>
    <w:tblPr/>
  </w:style>
  <w:style w:type="table" w:styleId="907">
    <w:name w:val="List Table 4 - Accent 2"/>
    <w:basedOn w:val="744"/>
    <w:next w:val="907"/>
    <w:link w:val="741"/>
    <w:uiPriority w:val="99"/>
    <w:pPr>
      <w:spacing w:after="0" w:line="240" w:lineRule="auto"/>
    </w:pPr>
    <w:tblPr/>
  </w:style>
  <w:style w:type="table" w:styleId="908">
    <w:name w:val="List Table 4 - Accent 3"/>
    <w:basedOn w:val="744"/>
    <w:next w:val="908"/>
    <w:link w:val="741"/>
    <w:uiPriority w:val="99"/>
    <w:pPr>
      <w:spacing w:after="0" w:line="240" w:lineRule="auto"/>
    </w:pPr>
    <w:tblPr/>
  </w:style>
  <w:style w:type="table" w:styleId="909">
    <w:name w:val="List Table 4 - Accent 4"/>
    <w:basedOn w:val="744"/>
    <w:next w:val="909"/>
    <w:link w:val="741"/>
    <w:uiPriority w:val="99"/>
    <w:pPr>
      <w:spacing w:after="0" w:line="240" w:lineRule="auto"/>
    </w:pPr>
    <w:tblPr/>
  </w:style>
  <w:style w:type="table" w:styleId="910">
    <w:name w:val="List Table 4 - Accent 5"/>
    <w:basedOn w:val="744"/>
    <w:next w:val="910"/>
    <w:link w:val="741"/>
    <w:uiPriority w:val="99"/>
    <w:pPr>
      <w:spacing w:after="0" w:line="240" w:lineRule="auto"/>
    </w:pPr>
    <w:tblPr/>
  </w:style>
  <w:style w:type="table" w:styleId="911">
    <w:name w:val="List Table 4 - Accent 6"/>
    <w:basedOn w:val="744"/>
    <w:next w:val="911"/>
    <w:link w:val="741"/>
    <w:uiPriority w:val="99"/>
    <w:pPr>
      <w:spacing w:after="0" w:line="240" w:lineRule="auto"/>
    </w:pPr>
    <w:tblPr/>
  </w:style>
  <w:style w:type="table" w:styleId="912">
    <w:name w:val="清单表 5 深色"/>
    <w:basedOn w:val="744"/>
    <w:next w:val="912"/>
    <w:link w:val="741"/>
    <w:uiPriority w:val="99"/>
    <w:pPr>
      <w:spacing w:after="0" w:line="240" w:lineRule="auto"/>
    </w:pPr>
    <w:tblPr/>
  </w:style>
  <w:style w:type="table" w:styleId="913">
    <w:name w:val="List Table 5 Dark - Accent 1"/>
    <w:basedOn w:val="744"/>
    <w:next w:val="913"/>
    <w:link w:val="741"/>
    <w:uiPriority w:val="99"/>
    <w:pPr>
      <w:spacing w:after="0" w:line="240" w:lineRule="auto"/>
    </w:pPr>
    <w:tblPr/>
  </w:style>
  <w:style w:type="table" w:styleId="914">
    <w:name w:val="List Table 5 Dark - Accent 2"/>
    <w:basedOn w:val="744"/>
    <w:next w:val="914"/>
    <w:link w:val="741"/>
    <w:uiPriority w:val="99"/>
    <w:pPr>
      <w:spacing w:after="0" w:line="240" w:lineRule="auto"/>
    </w:pPr>
    <w:tblPr/>
  </w:style>
  <w:style w:type="table" w:styleId="915">
    <w:name w:val="List Table 5 Dark - Accent 3"/>
    <w:basedOn w:val="744"/>
    <w:next w:val="915"/>
    <w:link w:val="741"/>
    <w:uiPriority w:val="99"/>
    <w:pPr>
      <w:spacing w:after="0" w:line="240" w:lineRule="auto"/>
    </w:pPr>
    <w:tblPr/>
  </w:style>
  <w:style w:type="table" w:styleId="916">
    <w:name w:val="List Table 5 Dark - Accent 4"/>
    <w:basedOn w:val="744"/>
    <w:next w:val="916"/>
    <w:link w:val="741"/>
    <w:uiPriority w:val="99"/>
    <w:pPr>
      <w:spacing w:after="0" w:line="240" w:lineRule="auto"/>
    </w:pPr>
    <w:tblPr/>
  </w:style>
  <w:style w:type="table" w:styleId="917">
    <w:name w:val="List Table 5 Dark - Accent 5"/>
    <w:basedOn w:val="744"/>
    <w:next w:val="917"/>
    <w:link w:val="741"/>
    <w:uiPriority w:val="99"/>
    <w:pPr>
      <w:spacing w:after="0" w:line="240" w:lineRule="auto"/>
    </w:pPr>
    <w:tblPr/>
  </w:style>
  <w:style w:type="table" w:styleId="918">
    <w:name w:val="List Table 5 Dark - Accent 6"/>
    <w:basedOn w:val="744"/>
    <w:next w:val="918"/>
    <w:link w:val="741"/>
    <w:uiPriority w:val="99"/>
    <w:pPr>
      <w:spacing w:after="0" w:line="240" w:lineRule="auto"/>
    </w:pPr>
    <w:tblPr/>
  </w:style>
  <w:style w:type="table" w:styleId="919">
    <w:name w:val="清单表 6 彩色"/>
    <w:basedOn w:val="744"/>
    <w:next w:val="919"/>
    <w:link w:val="741"/>
    <w:uiPriority w:val="99"/>
    <w:pPr>
      <w:spacing w:after="0" w:line="240" w:lineRule="auto"/>
    </w:pPr>
    <w:tblPr/>
  </w:style>
  <w:style w:type="table" w:styleId="920">
    <w:name w:val="List Table 6 Colorful - Accent 1"/>
    <w:basedOn w:val="744"/>
    <w:next w:val="920"/>
    <w:link w:val="741"/>
    <w:uiPriority w:val="99"/>
    <w:pPr>
      <w:spacing w:after="0" w:line="240" w:lineRule="auto"/>
    </w:pPr>
    <w:tblPr/>
  </w:style>
  <w:style w:type="table" w:styleId="921">
    <w:name w:val="List Table 6 Colorful - Accent 2"/>
    <w:basedOn w:val="744"/>
    <w:next w:val="921"/>
    <w:link w:val="741"/>
    <w:uiPriority w:val="99"/>
    <w:pPr>
      <w:spacing w:after="0" w:line="240" w:lineRule="auto"/>
    </w:pPr>
    <w:tblPr/>
  </w:style>
  <w:style w:type="table" w:styleId="922">
    <w:name w:val="List Table 6 Colorful - Accent 3"/>
    <w:basedOn w:val="744"/>
    <w:next w:val="922"/>
    <w:link w:val="741"/>
    <w:uiPriority w:val="99"/>
    <w:pPr>
      <w:spacing w:after="0" w:line="240" w:lineRule="auto"/>
    </w:pPr>
    <w:tblPr/>
  </w:style>
  <w:style w:type="table" w:styleId="923">
    <w:name w:val="List Table 6 Colorful - Accent 4"/>
    <w:basedOn w:val="744"/>
    <w:next w:val="923"/>
    <w:link w:val="741"/>
    <w:uiPriority w:val="99"/>
    <w:pPr>
      <w:spacing w:after="0" w:line="240" w:lineRule="auto"/>
    </w:pPr>
    <w:tblPr/>
  </w:style>
  <w:style w:type="table" w:styleId="924">
    <w:name w:val="List Table 6 Colorful - Accent 5"/>
    <w:basedOn w:val="744"/>
    <w:next w:val="924"/>
    <w:link w:val="741"/>
    <w:uiPriority w:val="99"/>
    <w:pPr>
      <w:spacing w:after="0" w:line="240" w:lineRule="auto"/>
    </w:pPr>
    <w:tblPr/>
  </w:style>
  <w:style w:type="table" w:styleId="925">
    <w:name w:val="List Table 6 Colorful - Accent 6"/>
    <w:basedOn w:val="744"/>
    <w:next w:val="925"/>
    <w:link w:val="741"/>
    <w:uiPriority w:val="99"/>
    <w:pPr>
      <w:spacing w:after="0" w:line="240" w:lineRule="auto"/>
    </w:pPr>
    <w:tblPr/>
  </w:style>
  <w:style w:type="table" w:styleId="926">
    <w:name w:val="清单表 7 彩色"/>
    <w:basedOn w:val="744"/>
    <w:next w:val="926"/>
    <w:link w:val="741"/>
    <w:uiPriority w:val="99"/>
    <w:pPr>
      <w:spacing w:after="0" w:line="240" w:lineRule="auto"/>
    </w:pPr>
    <w:tblPr/>
  </w:style>
  <w:style w:type="table" w:styleId="927">
    <w:name w:val="List Table 7 Colorful - Accent 1"/>
    <w:basedOn w:val="744"/>
    <w:next w:val="927"/>
    <w:link w:val="741"/>
    <w:uiPriority w:val="99"/>
    <w:pPr>
      <w:spacing w:after="0" w:line="240" w:lineRule="auto"/>
    </w:pPr>
    <w:tblPr/>
  </w:style>
  <w:style w:type="table" w:styleId="928">
    <w:name w:val="List Table 7 Colorful - Accent 2"/>
    <w:basedOn w:val="744"/>
    <w:next w:val="928"/>
    <w:link w:val="741"/>
    <w:uiPriority w:val="99"/>
    <w:pPr>
      <w:spacing w:after="0" w:line="240" w:lineRule="auto"/>
    </w:pPr>
    <w:tblPr/>
  </w:style>
  <w:style w:type="table" w:styleId="929">
    <w:name w:val="List Table 7 Colorful - Accent 3"/>
    <w:basedOn w:val="744"/>
    <w:next w:val="929"/>
    <w:link w:val="741"/>
    <w:uiPriority w:val="99"/>
    <w:pPr>
      <w:spacing w:after="0" w:line="240" w:lineRule="auto"/>
    </w:pPr>
    <w:tblPr/>
  </w:style>
  <w:style w:type="table" w:styleId="930">
    <w:name w:val="List Table 7 Colorful - Accent 4"/>
    <w:basedOn w:val="744"/>
    <w:next w:val="930"/>
    <w:link w:val="741"/>
    <w:uiPriority w:val="99"/>
    <w:pPr>
      <w:spacing w:after="0" w:line="240" w:lineRule="auto"/>
    </w:pPr>
    <w:tblPr/>
  </w:style>
  <w:style w:type="table" w:styleId="931">
    <w:name w:val="List Table 7 Colorful - Accent 5"/>
    <w:basedOn w:val="744"/>
    <w:next w:val="931"/>
    <w:link w:val="741"/>
    <w:uiPriority w:val="99"/>
    <w:pPr>
      <w:spacing w:after="0" w:line="240" w:lineRule="auto"/>
    </w:pPr>
    <w:tblPr/>
  </w:style>
  <w:style w:type="table" w:styleId="932">
    <w:name w:val="List Table 7 Colorful - Accent 6"/>
    <w:basedOn w:val="744"/>
    <w:next w:val="932"/>
    <w:link w:val="741"/>
    <w:uiPriority w:val="99"/>
    <w:pPr>
      <w:spacing w:after="0" w:line="240" w:lineRule="auto"/>
    </w:pPr>
    <w:tblPr/>
  </w:style>
  <w:style w:type="table" w:styleId="933">
    <w:name w:val="Lined - Accent"/>
    <w:basedOn w:val="744"/>
    <w:next w:val="933"/>
    <w:link w:val="741"/>
    <w:uiPriority w:val="99"/>
    <w:pPr>
      <w:spacing w:after="0" w:line="240" w:lineRule="auto"/>
    </w:pPr>
    <w:rPr>
      <w:color w:val="404040"/>
    </w:rPr>
    <w:tblPr/>
  </w:style>
  <w:style w:type="table" w:styleId="934">
    <w:name w:val="Lined - Accent 1"/>
    <w:basedOn w:val="744"/>
    <w:next w:val="934"/>
    <w:link w:val="741"/>
    <w:uiPriority w:val="99"/>
    <w:pPr>
      <w:spacing w:after="0" w:line="240" w:lineRule="auto"/>
    </w:pPr>
    <w:rPr>
      <w:color w:val="404040"/>
    </w:rPr>
    <w:tblPr/>
  </w:style>
  <w:style w:type="table" w:styleId="935">
    <w:name w:val="Lined - Accent 2"/>
    <w:basedOn w:val="744"/>
    <w:next w:val="935"/>
    <w:link w:val="741"/>
    <w:uiPriority w:val="99"/>
    <w:pPr>
      <w:spacing w:after="0" w:line="240" w:lineRule="auto"/>
    </w:pPr>
    <w:rPr>
      <w:color w:val="404040"/>
    </w:rPr>
    <w:tblPr/>
  </w:style>
  <w:style w:type="table" w:styleId="936">
    <w:name w:val="Lined - Accent 3"/>
    <w:basedOn w:val="744"/>
    <w:next w:val="936"/>
    <w:link w:val="741"/>
    <w:uiPriority w:val="99"/>
    <w:pPr>
      <w:spacing w:after="0" w:line="240" w:lineRule="auto"/>
    </w:pPr>
    <w:rPr>
      <w:color w:val="404040"/>
    </w:rPr>
    <w:tblPr/>
  </w:style>
  <w:style w:type="table" w:styleId="937">
    <w:name w:val="Lined - Accent 4"/>
    <w:basedOn w:val="744"/>
    <w:next w:val="937"/>
    <w:link w:val="741"/>
    <w:uiPriority w:val="99"/>
    <w:pPr>
      <w:spacing w:after="0" w:line="240" w:lineRule="auto"/>
    </w:pPr>
    <w:rPr>
      <w:color w:val="404040"/>
    </w:rPr>
    <w:tblPr/>
  </w:style>
  <w:style w:type="table" w:styleId="938">
    <w:name w:val="Lined - Accent 5"/>
    <w:basedOn w:val="744"/>
    <w:next w:val="938"/>
    <w:link w:val="741"/>
    <w:uiPriority w:val="99"/>
    <w:pPr>
      <w:spacing w:after="0" w:line="240" w:lineRule="auto"/>
    </w:pPr>
    <w:rPr>
      <w:color w:val="404040"/>
    </w:rPr>
    <w:tblPr/>
  </w:style>
  <w:style w:type="table" w:styleId="939">
    <w:name w:val="Lined - Accent 6"/>
    <w:basedOn w:val="744"/>
    <w:next w:val="939"/>
    <w:link w:val="741"/>
    <w:uiPriority w:val="99"/>
    <w:pPr>
      <w:spacing w:after="0" w:line="240" w:lineRule="auto"/>
    </w:pPr>
    <w:rPr>
      <w:color w:val="404040"/>
    </w:rPr>
    <w:tblPr/>
  </w:style>
  <w:style w:type="table" w:styleId="940">
    <w:name w:val="Bordered &amp; Lined - Accent"/>
    <w:basedOn w:val="744"/>
    <w:next w:val="940"/>
    <w:link w:val="741"/>
    <w:uiPriority w:val="99"/>
    <w:pPr>
      <w:spacing w:after="0" w:line="240" w:lineRule="auto"/>
    </w:pPr>
    <w:rPr>
      <w:color w:val="404040"/>
    </w:rPr>
    <w:tblPr/>
  </w:style>
  <w:style w:type="table" w:styleId="941">
    <w:name w:val="Bordered &amp; Lined - Accent 1"/>
    <w:basedOn w:val="744"/>
    <w:next w:val="941"/>
    <w:link w:val="741"/>
    <w:uiPriority w:val="99"/>
    <w:pPr>
      <w:spacing w:after="0" w:line="240" w:lineRule="auto"/>
    </w:pPr>
    <w:rPr>
      <w:color w:val="404040"/>
    </w:rPr>
    <w:tblPr/>
  </w:style>
  <w:style w:type="table" w:styleId="942">
    <w:name w:val="Bordered &amp; Lined - Accent 2"/>
    <w:basedOn w:val="744"/>
    <w:next w:val="942"/>
    <w:link w:val="741"/>
    <w:uiPriority w:val="99"/>
    <w:pPr>
      <w:spacing w:after="0" w:line="240" w:lineRule="auto"/>
    </w:pPr>
    <w:rPr>
      <w:color w:val="404040"/>
    </w:rPr>
    <w:tblPr/>
  </w:style>
  <w:style w:type="table" w:styleId="943">
    <w:name w:val="Bordered &amp; Lined - Accent 3"/>
    <w:basedOn w:val="744"/>
    <w:next w:val="943"/>
    <w:link w:val="741"/>
    <w:uiPriority w:val="99"/>
    <w:pPr>
      <w:spacing w:after="0" w:line="240" w:lineRule="auto"/>
    </w:pPr>
    <w:rPr>
      <w:color w:val="404040"/>
    </w:rPr>
    <w:tblPr/>
  </w:style>
  <w:style w:type="table" w:styleId="944">
    <w:name w:val="Bordered &amp; Lined - Accent 4"/>
    <w:basedOn w:val="744"/>
    <w:next w:val="944"/>
    <w:link w:val="741"/>
    <w:uiPriority w:val="99"/>
    <w:pPr>
      <w:spacing w:after="0" w:line="240" w:lineRule="auto"/>
    </w:pPr>
    <w:rPr>
      <w:color w:val="404040"/>
    </w:rPr>
    <w:tblPr/>
  </w:style>
  <w:style w:type="table" w:styleId="945">
    <w:name w:val="Bordered &amp; Lined - Accent 5"/>
    <w:basedOn w:val="744"/>
    <w:next w:val="945"/>
    <w:link w:val="741"/>
    <w:uiPriority w:val="99"/>
    <w:pPr>
      <w:spacing w:after="0" w:line="240" w:lineRule="auto"/>
    </w:pPr>
    <w:rPr>
      <w:color w:val="404040"/>
    </w:rPr>
    <w:tblPr/>
  </w:style>
  <w:style w:type="table" w:styleId="946">
    <w:name w:val="Bordered &amp; Lined - Accent 6"/>
    <w:basedOn w:val="744"/>
    <w:next w:val="946"/>
    <w:link w:val="741"/>
    <w:uiPriority w:val="99"/>
    <w:pPr>
      <w:spacing w:after="0" w:line="240" w:lineRule="auto"/>
    </w:pPr>
    <w:rPr>
      <w:color w:val="404040"/>
    </w:rPr>
    <w:tblPr/>
  </w:style>
  <w:style w:type="table" w:styleId="947">
    <w:name w:val="Bordered"/>
    <w:basedOn w:val="744"/>
    <w:next w:val="947"/>
    <w:link w:val="741"/>
    <w:uiPriority w:val="99"/>
    <w:pPr>
      <w:spacing w:after="0" w:line="240" w:lineRule="auto"/>
    </w:pPr>
    <w:tblPr/>
  </w:style>
  <w:style w:type="table" w:styleId="948">
    <w:name w:val="Bordered - Accent 1"/>
    <w:basedOn w:val="744"/>
    <w:next w:val="948"/>
    <w:link w:val="741"/>
    <w:uiPriority w:val="99"/>
    <w:pPr>
      <w:spacing w:after="0" w:line="240" w:lineRule="auto"/>
    </w:pPr>
    <w:tblPr/>
  </w:style>
  <w:style w:type="table" w:styleId="949">
    <w:name w:val="Bordered - Accent 2"/>
    <w:basedOn w:val="744"/>
    <w:next w:val="949"/>
    <w:link w:val="741"/>
    <w:uiPriority w:val="99"/>
    <w:pPr>
      <w:spacing w:after="0" w:line="240" w:lineRule="auto"/>
    </w:pPr>
    <w:tblPr/>
  </w:style>
  <w:style w:type="table" w:styleId="950">
    <w:name w:val="Bordered - Accent 3"/>
    <w:basedOn w:val="744"/>
    <w:next w:val="950"/>
    <w:link w:val="741"/>
    <w:uiPriority w:val="99"/>
    <w:pPr>
      <w:spacing w:after="0" w:line="240" w:lineRule="auto"/>
    </w:pPr>
    <w:tblPr/>
  </w:style>
  <w:style w:type="table" w:styleId="951">
    <w:name w:val="Bordered - Accent 4"/>
    <w:basedOn w:val="744"/>
    <w:next w:val="951"/>
    <w:link w:val="741"/>
    <w:uiPriority w:val="99"/>
    <w:pPr>
      <w:spacing w:after="0" w:line="240" w:lineRule="auto"/>
    </w:pPr>
    <w:tblPr/>
  </w:style>
  <w:style w:type="table" w:styleId="952">
    <w:name w:val="Bordered - Accent 5"/>
    <w:basedOn w:val="744"/>
    <w:next w:val="952"/>
    <w:link w:val="741"/>
    <w:uiPriority w:val="99"/>
    <w:pPr>
      <w:spacing w:after="0" w:line="240" w:lineRule="auto"/>
    </w:pPr>
    <w:tblPr/>
  </w:style>
  <w:style w:type="table" w:styleId="953">
    <w:name w:val="Bordered - Accent 6"/>
    <w:basedOn w:val="744"/>
    <w:next w:val="953"/>
    <w:link w:val="741"/>
    <w:uiPriority w:val="99"/>
    <w:pPr>
      <w:spacing w:after="0" w:line="240" w:lineRule="auto"/>
    </w:pPr>
    <w:tblPr/>
  </w:style>
  <w:style w:type="character" w:styleId="954">
    <w:name w:val="Footnote Text Char"/>
    <w:next w:val="954"/>
    <w:link w:val="741"/>
    <w:uiPriority w:val="99"/>
    <w:rPr>
      <w:sz w:val="18"/>
    </w:rPr>
  </w:style>
  <w:style w:type="paragraph" w:styleId="955">
    <w:name w:val="TOC 标题"/>
    <w:next w:val="955"/>
    <w:link w:val="741"/>
    <w:uiPriority w:val="39"/>
    <w:qFormat/>
    <w:rPr>
      <w:lang w:val="en-US" w:eastAsia="zh-CN" w:bidi="ar-SA"/>
    </w:rPr>
  </w:style>
  <w:style w:type="paragraph" w:styleId="956">
    <w:name w:val="Heading 2"/>
    <w:basedOn w:val="741"/>
    <w:next w:val="741"/>
    <w:link w:val="957"/>
    <w:qFormat/>
    <w:pPr>
      <w:numPr>
        <w:ilvl w:val="1"/>
        <w:numId w:val="1"/>
      </w:numPr>
      <w:spacing w:before="156" w:after="156" w:line="360" w:lineRule="auto"/>
      <w:outlineLvl w:val="1"/>
    </w:pPr>
    <w:rPr>
      <w:rFonts w:ascii="Cambria" w:hAnsi="Cambria"/>
      <w:b/>
      <w:bCs/>
      <w:sz w:val="32"/>
      <w:szCs w:val="32"/>
    </w:rPr>
  </w:style>
  <w:style w:type="character" w:styleId="957">
    <w:name w:val="标题 2 Char"/>
    <w:next w:val="957"/>
    <w:link w:val="956"/>
    <w:qFormat/>
    <w:rPr>
      <w:rFonts w:ascii="Cambria" w:hAnsi="Cambria" w:eastAsia="宋体" w:cs="Times New Roman"/>
      <w:b/>
      <w:bCs/>
      <w:sz w:val="32"/>
      <w:szCs w:val="32"/>
    </w:rPr>
  </w:style>
  <w:style w:type="paragraph" w:styleId="958">
    <w:name w:val="Heading 3"/>
    <w:basedOn w:val="741"/>
    <w:next w:val="747"/>
    <w:link w:val="959"/>
    <w:qFormat/>
    <w:pPr>
      <w:keepLines/>
      <w:keepNext/>
      <w:spacing w:before="260" w:after="260" w:line="416" w:lineRule="auto"/>
      <w:outlineLvl w:val="2"/>
    </w:pPr>
    <w:rPr>
      <w:b/>
      <w:sz w:val="32"/>
      <w:szCs w:val="20"/>
    </w:rPr>
  </w:style>
  <w:style w:type="character" w:styleId="959">
    <w:name w:val="标题 3 Char"/>
    <w:next w:val="959"/>
    <w:link w:val="958"/>
    <w:qFormat/>
    <w:rPr>
      <w:rFonts w:ascii="Times New Roman" w:hAnsi="Times New Roman" w:eastAsia="宋体" w:cs="Times New Roman"/>
      <w:b/>
      <w:sz w:val="32"/>
      <w:szCs w:val="20"/>
    </w:rPr>
  </w:style>
  <w:style w:type="paragraph" w:styleId="960">
    <w:name w:val="Heading 5"/>
    <w:basedOn w:val="741"/>
    <w:next w:val="741"/>
    <w:link w:val="961"/>
    <w:qFormat/>
    <w:pPr>
      <w:jc w:val="left"/>
      <w:keepLines/>
      <w:keepNext/>
      <w:spacing w:before="280" w:after="290" w:line="376" w:lineRule="auto"/>
      <w:widowControl/>
      <w:outlineLvl w:val="4"/>
    </w:pPr>
    <w:rPr>
      <w:b/>
      <w:bCs/>
      <w:sz w:val="28"/>
      <w:szCs w:val="28"/>
    </w:rPr>
  </w:style>
  <w:style w:type="character" w:styleId="961">
    <w:name w:val="标题 5 Char"/>
    <w:next w:val="961"/>
    <w:link w:val="960"/>
    <w:qFormat/>
    <w:rPr>
      <w:rFonts w:ascii="Times New Roman" w:hAnsi="Times New Roman" w:eastAsia="宋体" w:cs="Times New Roman"/>
      <w:b/>
      <w:bCs/>
      <w:sz w:val="28"/>
      <w:szCs w:val="28"/>
    </w:rPr>
  </w:style>
  <w:style w:type="paragraph" w:styleId="962">
    <w:name w:val="Heading 6"/>
    <w:basedOn w:val="741"/>
    <w:next w:val="741"/>
    <w:link w:val="963"/>
    <w:uiPriority w:val="9"/>
    <w:qFormat/>
    <w:pPr>
      <w:numPr>
        <w:ilvl w:val="5"/>
        <w:numId w:val="1"/>
      </w:numPr>
      <w:keepLines/>
      <w:keepNext/>
      <w:spacing w:before="120" w:after="64" w:line="300" w:lineRule="auto"/>
      <w:outlineLvl w:val="5"/>
    </w:pPr>
    <w:rPr>
      <w:rFonts w:ascii="Arial" w:hAnsi="Arial"/>
      <w:bCs/>
      <w:sz w:val="24"/>
    </w:rPr>
  </w:style>
  <w:style w:type="character" w:styleId="963">
    <w:name w:val="标题 6 Char"/>
    <w:next w:val="963"/>
    <w:link w:val="962"/>
    <w:uiPriority w:val="9"/>
    <w:qFormat/>
    <w:rPr>
      <w:rFonts w:ascii="Arial" w:hAnsi="Arial" w:eastAsia="宋体" w:cs="Times New Roman"/>
      <w:bCs/>
      <w:sz w:val="24"/>
      <w:szCs w:val="24"/>
    </w:rPr>
  </w:style>
  <w:style w:type="paragraph" w:styleId="964">
    <w:name w:val="Footer1"/>
    <w:basedOn w:val="741"/>
    <w:next w:val="964"/>
    <w:link w:val="965"/>
    <w:uiPriority w:val="99"/>
    <w:qFormat/>
    <w:pPr>
      <w:jc w:val="left"/>
      <w:tabs>
        <w:tab w:val="center" w:pos="4153" w:leader="none"/>
        <w:tab w:val="right" w:pos="8306" w:leader="none"/>
      </w:tabs>
    </w:pPr>
    <w:rPr>
      <w:sz w:val="18"/>
      <w:szCs w:val="18"/>
    </w:rPr>
  </w:style>
  <w:style w:type="character" w:styleId="965">
    <w:name w:val="页脚 Char"/>
    <w:next w:val="965"/>
    <w:link w:val="964"/>
    <w:uiPriority w:val="99"/>
    <w:qFormat/>
    <w:rPr>
      <w:rFonts w:ascii="Times New Roman" w:hAnsi="Times New Roman" w:eastAsia="宋体" w:cs="Times New Roman"/>
      <w:sz w:val="18"/>
      <w:szCs w:val="18"/>
    </w:rPr>
  </w:style>
  <w:style w:type="paragraph" w:styleId="966">
    <w:name w:val="Header1"/>
    <w:basedOn w:val="741"/>
    <w:next w:val="966"/>
    <w:link w:val="967"/>
    <w:qFormat/>
    <w:pPr>
      <w:jc w:val="center"/>
      <w:tabs>
        <w:tab w:val="center" w:pos="4153" w:leader="none"/>
        <w:tab w:val="right" w:pos="8306" w:leader="none"/>
      </w:tabs>
      <w:pBdr>
        <w:bottom w:val="single" w:color="000000" w:sz="6" w:space="1"/>
      </w:pBdr>
    </w:pPr>
    <w:rPr>
      <w:sz w:val="18"/>
      <w:szCs w:val="18"/>
    </w:rPr>
  </w:style>
  <w:style w:type="character" w:styleId="967">
    <w:name w:val="页眉 Char"/>
    <w:next w:val="967"/>
    <w:link w:val="966"/>
    <w:qFormat/>
    <w:rPr>
      <w:rFonts w:ascii="Times New Roman" w:hAnsi="Times New Roman" w:eastAsia="宋体" w:cs="Times New Roman"/>
      <w:sz w:val="18"/>
      <w:szCs w:val="18"/>
    </w:rPr>
  </w:style>
  <w:style w:type="paragraph" w:styleId="968">
    <w:name w:val="段"/>
    <w:next w:val="741"/>
    <w:link w:val="741"/>
    <w:qFormat/>
    <w:pPr>
      <w:ind w:firstLine="420"/>
      <w:jc w:val="both"/>
      <w:tabs>
        <w:tab w:val="center" w:pos="4201" w:leader="none"/>
        <w:tab w:val="right" w:pos="9298" w:leader="dot"/>
      </w:tabs>
    </w:pPr>
    <w:rPr>
      <w:rFonts w:ascii="宋体" w:eastAsia="Times New Roman"/>
      <w:lang w:val="en-US" w:eastAsia="zh-CN" w:bidi="ar-SA"/>
    </w:rPr>
  </w:style>
  <w:style w:type="paragraph" w:styleId="969">
    <w:name w:val="首行缩进"/>
    <w:basedOn w:val="741"/>
    <w:next w:val="969"/>
    <w:link w:val="741"/>
    <w:uiPriority w:val="99"/>
    <w:qFormat/>
    <w:pPr>
      <w:ind w:firstLine="480"/>
    </w:pPr>
    <w:rPr>
      <w:szCs w:val="20"/>
      <w:lang w:val="zh-CN"/>
    </w:rPr>
  </w:style>
  <w:style w:type="character" w:styleId="970">
    <w:name w:val="hover14"/>
    <w:next w:val="970"/>
    <w:link w:val="741"/>
    <w:qFormat/>
    <w:rPr>
      <w:shd w:val="clear" w:color="auto" w:fill="eeeeee"/>
    </w:rPr>
  </w:style>
  <w:style w:type="character" w:styleId="971">
    <w:name w:val="hour_pm"/>
    <w:next w:val="971"/>
    <w:link w:val="741"/>
    <w:qFormat/>
  </w:style>
  <w:style w:type="character" w:styleId="972">
    <w:name w:val="first-child"/>
    <w:next w:val="972"/>
    <w:link w:val="741"/>
    <w:qFormat/>
  </w:style>
  <w:style w:type="character" w:styleId="973">
    <w:name w:val="正文文本 Char"/>
    <w:next w:val="973"/>
    <w:link w:val="741"/>
    <w:uiPriority w:val="99"/>
    <w:qFormat/>
    <w:rPr>
      <w:rFonts w:ascii="Calibri" w:hAnsi="Calibri" w:eastAsia="宋体" w:cs="Times New Roman"/>
      <w:szCs w:val="24"/>
    </w:rPr>
  </w:style>
  <w:style w:type="character" w:styleId="974">
    <w:name w:val="font81"/>
    <w:next w:val="974"/>
    <w:link w:val="741"/>
    <w:qFormat/>
    <w:rPr>
      <w:rFonts w:hint="eastAsia" w:ascii="宋体" w:hAnsi="宋体" w:eastAsia="宋体" w:cs="宋体"/>
      <w:b/>
      <w:color w:val="000000"/>
      <w:sz w:val="22"/>
      <w:szCs w:val="22"/>
      <w:u w:val="none"/>
    </w:rPr>
  </w:style>
  <w:style w:type="character" w:styleId="975">
    <w:name w:val="日期 Char1"/>
    <w:next w:val="975"/>
    <w:link w:val="741"/>
    <w:qFormat/>
    <w:rPr>
      <w:rFonts w:ascii="Calibri" w:hAnsi="Calibri" w:eastAsia="宋体" w:cs="Times New Roman"/>
      <w:szCs w:val="24"/>
    </w:rPr>
  </w:style>
  <w:style w:type="character" w:styleId="976">
    <w:name w:val="hover13"/>
    <w:next w:val="976"/>
    <w:link w:val="741"/>
    <w:qFormat/>
    <w:rPr>
      <w:shd w:val="clear" w:color="auto" w:fill="eeeeee"/>
    </w:rPr>
  </w:style>
  <w:style w:type="character" w:styleId="977">
    <w:name w:val="font71"/>
    <w:next w:val="977"/>
    <w:link w:val="741"/>
    <w:qFormat/>
    <w:rPr>
      <w:rFonts w:hint="eastAsia" w:ascii="宋体" w:hAnsi="宋体" w:eastAsia="宋体" w:cs="宋体"/>
      <w:b/>
      <w:color w:val="000000"/>
      <w:sz w:val="22"/>
      <w:szCs w:val="22"/>
      <w:u w:val="none"/>
      <w:vertAlign w:val="superscript"/>
    </w:rPr>
  </w:style>
  <w:style w:type="character" w:styleId="978">
    <w:name w:val="纯文本 Char"/>
    <w:next w:val="978"/>
    <w:link w:val="741"/>
    <w:qFormat/>
    <w:rPr>
      <w:rFonts w:ascii="宋体" w:hAnsi="Courier New" w:eastAsia="宋体" w:cs="Courier New"/>
      <w:szCs w:val="21"/>
    </w:rPr>
  </w:style>
  <w:style w:type="character" w:styleId="979">
    <w:name w:val="select2-selection__rendered"/>
    <w:next w:val="979"/>
    <w:link w:val="741"/>
    <w:qFormat/>
    <w:rPr>
      <w:sz w:val="18"/>
      <w:szCs w:val="18"/>
    </w:rPr>
  </w:style>
  <w:style w:type="character" w:styleId="980">
    <w:name w:val="first-child1"/>
    <w:next w:val="980"/>
    <w:link w:val="741"/>
    <w:qFormat/>
  </w:style>
  <w:style w:type="character" w:styleId="981">
    <w:name w:val="old"/>
    <w:next w:val="981"/>
    <w:link w:val="741"/>
    <w:qFormat/>
    <w:rPr>
      <w:color w:val="999999"/>
    </w:rPr>
  </w:style>
  <w:style w:type="character" w:styleId="982">
    <w:name w:val="time"/>
    <w:next w:val="982"/>
    <w:link w:val="741"/>
    <w:qFormat/>
    <w:rPr>
      <w:rFonts w:ascii="Arial" w:hAnsi="Arial" w:cs="Arial"/>
    </w:rPr>
  </w:style>
  <w:style w:type="character" w:styleId="983">
    <w:name w:val="Plain Text Char"/>
    <w:next w:val="983"/>
    <w:link w:val="984"/>
    <w:qFormat/>
    <w:rPr>
      <w:rFonts w:ascii="宋体" w:hAnsi="Courier New" w:eastAsia="楷体_GB2312" w:cs="Times New Roman"/>
      <w:sz w:val="26"/>
    </w:rPr>
  </w:style>
  <w:style w:type="paragraph" w:styleId="984">
    <w:name w:val="纯文本3"/>
    <w:basedOn w:val="741"/>
    <w:next w:val="984"/>
    <w:link w:val="983"/>
    <w:qFormat/>
    <w:rPr>
      <w:rFonts w:ascii="宋体" w:hAnsi="Courier New" w:eastAsia="楷体_GB2312"/>
      <w:sz w:val="26"/>
      <w:szCs w:val="22"/>
    </w:rPr>
  </w:style>
  <w:style w:type="character" w:styleId="985">
    <w:name w:val="hour_am"/>
    <w:next w:val="985"/>
    <w:link w:val="741"/>
    <w:qFormat/>
  </w:style>
  <w:style w:type="character" w:styleId="986">
    <w:name w:val="NormalCharacter1"/>
    <w:next w:val="986"/>
    <w:link w:val="741"/>
    <w:semiHidden/>
    <w:qFormat/>
    <w:rPr>
      <w:rFonts w:ascii="Times New Roman" w:hAnsi="Times New Roman" w:eastAsia="宋体" w:cs="Times New Roman"/>
    </w:rPr>
  </w:style>
  <w:style w:type="paragraph" w:styleId="987">
    <w:name w:val="纯文本2"/>
    <w:basedOn w:val="741"/>
    <w:next w:val="987"/>
    <w:link w:val="741"/>
    <w:qFormat/>
    <w:rPr>
      <w:rFonts w:ascii="宋体" w:hAnsi="Courier New"/>
    </w:rPr>
  </w:style>
  <w:style w:type="paragraph" w:styleId="988">
    <w:name w:val="文本正文"/>
    <w:basedOn w:val="741"/>
    <w:next w:val="988"/>
    <w:link w:val="741"/>
    <w:qFormat/>
    <w:pPr>
      <w:ind w:firstLine="560"/>
      <w:jc w:val="left"/>
      <w:spacing w:line="360" w:lineRule="auto"/>
    </w:pPr>
    <w:rPr>
      <w:sz w:val="28"/>
      <w:szCs w:val="28"/>
    </w:rPr>
  </w:style>
  <w:style w:type="paragraph" w:styleId="989">
    <w:name w:val="Plain Text1"/>
    <w:basedOn w:val="741"/>
    <w:next w:val="989"/>
    <w:link w:val="741"/>
    <w:qFormat/>
    <w:pPr>
      <w:jc w:val="left"/>
      <w:widowControl/>
    </w:pPr>
    <w:rPr>
      <w:rFonts w:ascii="宋体" w:hAnsi="Courier New" w:eastAsia="楷体_GB2312"/>
      <w:sz w:val="26"/>
      <w:szCs w:val="20"/>
    </w:rPr>
  </w:style>
  <w:style w:type="paragraph" w:styleId="990">
    <w:name w:val="纯文本4"/>
    <w:basedOn w:val="741"/>
    <w:next w:val="990"/>
    <w:link w:val="741"/>
    <w:qFormat/>
    <w:rPr>
      <w:rFonts w:ascii="宋体" w:hAnsi="Courier New" w:eastAsia="楷体_GB2312"/>
      <w:sz w:val="26"/>
      <w:szCs w:val="20"/>
    </w:rPr>
  </w:style>
  <w:style w:type="paragraph" w:styleId="991">
    <w:name w:val="Default"/>
    <w:next w:val="991"/>
    <w:link w:val="741"/>
    <w:qFormat/>
    <w:pPr>
      <w:widowControl w:val="off"/>
    </w:pPr>
    <w:rPr>
      <w:rFonts w:ascii="宋体"/>
      <w:color w:val="000000"/>
      <w:sz w:val="24"/>
      <w:szCs w:val="24"/>
      <w:lang w:val="en-US" w:eastAsia="zh-CN" w:bidi="ar-SA"/>
    </w:rPr>
  </w:style>
  <w:style w:type="paragraph" w:styleId="992">
    <w:name w:val="列表段落"/>
    <w:basedOn w:val="741"/>
    <w:next w:val="992"/>
    <w:link w:val="741"/>
    <w:uiPriority w:val="34"/>
    <w:qFormat/>
    <w:pPr>
      <w:ind w:firstLine="420"/>
    </w:pPr>
  </w:style>
  <w:style w:type="paragraph" w:styleId="993">
    <w:name w:val="纯文本1"/>
    <w:basedOn w:val="741"/>
    <w:next w:val="993"/>
    <w:link w:val="741"/>
    <w:qFormat/>
    <w:rPr>
      <w:rFonts w:ascii="宋体" w:hAnsi="Courier New" w:eastAsia="楷体_GB2312"/>
      <w:sz w:val="28"/>
      <w:szCs w:val="20"/>
    </w:rPr>
  </w:style>
  <w:style w:type="paragraph" w:styleId="994">
    <w:name w:val="修订1"/>
    <w:next w:val="994"/>
    <w:link w:val="741"/>
    <w:uiPriority w:val="99"/>
    <w:unhideWhenUsed/>
    <w:qFormat/>
    <w:rPr>
      <w:sz w:val="21"/>
      <w:szCs w:val="24"/>
      <w:lang w:val="en-US" w:eastAsia="zh-CN" w:bidi="ar-SA"/>
    </w:rPr>
  </w:style>
  <w:style w:type="paragraph" w:styleId="995">
    <w:name w:val="纯文本5"/>
    <w:basedOn w:val="741"/>
    <w:next w:val="995"/>
    <w:link w:val="741"/>
    <w:qFormat/>
    <w:rPr>
      <w:rFonts w:ascii="宋体" w:hAnsi="Courier New" w:eastAsia="楷体_GB2312"/>
      <w:sz w:val="26"/>
      <w:szCs w:val="20"/>
    </w:rPr>
  </w:style>
  <w:style w:type="paragraph" w:styleId="996">
    <w:name w:val="纯文本6"/>
    <w:basedOn w:val="741"/>
    <w:next w:val="996"/>
    <w:link w:val="741"/>
    <w:qFormat/>
    <w:rPr>
      <w:rFonts w:ascii="宋体" w:hAnsi="Courier New" w:eastAsia="楷体_GB2312"/>
      <w:sz w:val="26"/>
      <w:szCs w:val="20"/>
    </w:rPr>
  </w:style>
  <w:style w:type="character" w:styleId="997">
    <w:name w:val="font21"/>
    <w:next w:val="997"/>
    <w:link w:val="741"/>
    <w:qFormat/>
    <w:rPr>
      <w:rFonts w:hint="eastAsia" w:ascii="宋体" w:hAnsi="宋体" w:eastAsia="宋体" w:cs="宋体"/>
      <w:color w:val="000000"/>
      <w:sz w:val="22"/>
      <w:szCs w:val="22"/>
      <w:u w:val="none"/>
    </w:rPr>
  </w:style>
  <w:style w:type="paragraph" w:styleId="998">
    <w:name w:val="正文1"/>
    <w:basedOn w:val="741"/>
    <w:next w:val="998"/>
    <w:link w:val="741"/>
    <w:qFormat/>
    <w:rPr>
      <w:rFonts w:ascii="宋体" w:hAnsi="宋体" w:cs="宋体"/>
      <w:sz w:val="24"/>
      <w:szCs w:val="20"/>
      <w:lang w:eastAsia="en-US"/>
    </w:rPr>
  </w:style>
  <w:style w:type="paragraph" w:styleId="999">
    <w:name w:val="Table Paragraph"/>
    <w:basedOn w:val="741"/>
    <w:next w:val="999"/>
    <w:link w:val="741"/>
    <w:uiPriority w:val="1"/>
    <w:qFormat/>
    <w:rPr>
      <w:rFonts w:ascii="宋体" w:hAnsi="宋体" w:cs="宋体"/>
      <w:lang w:val="zh-CN" w:bidi="zh-CN"/>
    </w:rPr>
  </w:style>
  <w:style w:type="paragraph" w:styleId="1000">
    <w:name w:val="Andy_3级"/>
    <w:basedOn w:val="741"/>
    <w:next w:val="1000"/>
    <w:link w:val="741"/>
    <w:qFormat/>
    <w:pPr>
      <w:ind w:firstLine="510"/>
      <w:spacing w:line="360" w:lineRule="auto"/>
    </w:pPr>
    <w:rPr>
      <w:rFonts w:ascii="Calibri" w:hAnsi="Calibri"/>
      <w:sz w:val="24"/>
    </w:rPr>
  </w:style>
  <w:style w:type="character" w:styleId="1001">
    <w:name w:val="font51"/>
    <w:next w:val="1001"/>
    <w:link w:val="741"/>
    <w:qFormat/>
    <w:rPr>
      <w:rFonts w:hint="eastAsia" w:ascii="宋体" w:hAnsi="宋体" w:eastAsia="宋体" w:cs="宋体"/>
      <w:color w:val="000000"/>
      <w:sz w:val="22"/>
      <w:szCs w:val="22"/>
      <w:u w:val="none"/>
    </w:rPr>
  </w:style>
  <w:style w:type="character" w:styleId="1002">
    <w:name w:val="font31"/>
    <w:next w:val="1002"/>
    <w:link w:val="741"/>
    <w:qFormat/>
    <w:rPr>
      <w:rFonts w:ascii="Times New Roman" w:hAnsi="Times New Roman" w:cs="Times New Roman"/>
      <w:color w:val="000000"/>
      <w:sz w:val="22"/>
      <w:szCs w:val="22"/>
      <w:u w:val="none"/>
    </w:rPr>
  </w:style>
  <w:style w:type="character" w:styleId="1003">
    <w:name w:val="font11"/>
    <w:next w:val="1003"/>
    <w:link w:val="741"/>
    <w:qFormat/>
    <w:rPr>
      <w:rFonts w:hint="eastAsia" w:ascii="宋体" w:hAnsi="宋体" w:eastAsia="宋体" w:cs="宋体"/>
      <w:color w:val="000000"/>
      <w:sz w:val="22"/>
      <w:szCs w:val="22"/>
      <w:u w:val="none"/>
    </w:rPr>
  </w:style>
  <w:style w:type="paragraph" w:styleId="1004">
    <w:name w:val="文档结构图1"/>
    <w:basedOn w:val="741"/>
    <w:next w:val="1004"/>
    <w:link w:val="741"/>
    <w:uiPriority w:val="99"/>
    <w:qFormat/>
    <w:pPr>
      <w:shd w:val="clear" w:color="auto" w:fill="000080"/>
    </w:pPr>
  </w:style>
  <w:style w:type="paragraph" w:styleId="1005">
    <w:name w:val="纯文本7"/>
    <w:basedOn w:val="741"/>
    <w:next w:val="1005"/>
    <w:link w:val="741"/>
    <w:qFormat/>
    <w:rPr>
      <w:rFonts w:ascii="宋体" w:hAnsi="Courier New" w:eastAsia="楷体_GB2312"/>
      <w:sz w:val="26"/>
      <w:szCs w:val="20"/>
    </w:rPr>
  </w:style>
  <w:style w:type="paragraph" w:styleId="1006">
    <w:name w:val="表"/>
    <w:basedOn w:val="741"/>
    <w:next w:val="1006"/>
    <w:link w:val="741"/>
    <w:qFormat/>
    <w:pPr>
      <w:jc w:val="center"/>
    </w:pPr>
    <w:rPr>
      <w:rFonts w:ascii="Calibri" w:hAnsi="Calibri"/>
      <w:sz w:val="22"/>
    </w:rPr>
  </w:style>
  <w:style w:type="paragraph" w:styleId="1007">
    <w:name w:val="列表段落1"/>
    <w:basedOn w:val="741"/>
    <w:next w:val="1007"/>
    <w:link w:val="741"/>
    <w:uiPriority w:val="34"/>
    <w:qFormat/>
    <w:pPr>
      <w:ind w:firstLine="420"/>
    </w:pPr>
    <w:rPr>
      <w:rFonts w:ascii="等线" w:hAnsi="等线" w:eastAsia="等线"/>
    </w:rPr>
  </w:style>
  <w:style w:type="paragraph" w:styleId="1008">
    <w:name w:val="List Paragraph1"/>
    <w:basedOn w:val="741"/>
    <w:next w:val="1008"/>
    <w:link w:val="741"/>
    <w:qFormat/>
    <w:pPr>
      <w:ind w:firstLine="420"/>
    </w:pPr>
  </w:style>
  <w:style w:type="paragraph" w:styleId="1009">
    <w:name w:val="修订"/>
    <w:next w:val="1009"/>
    <w:link w:val="741"/>
    <w:uiPriority w:val="99"/>
    <w:semiHidden/>
    <w:rPr>
      <w:sz w:val="21"/>
      <w:szCs w:val="24"/>
      <w:lang w:val="en-US" w:eastAsia="zh-CN" w:bidi="ar-SA"/>
    </w:rPr>
  </w:style>
  <w:style w:type="paragraph" w:styleId="1010">
    <w:name w:val="章正文"/>
    <w:basedOn w:val="741"/>
    <w:next w:val="1010"/>
    <w:link w:val="741"/>
    <w:qFormat/>
    <w:pPr>
      <w:ind w:firstLine="480"/>
      <w:spacing w:after="120" w:line="300" w:lineRule="auto"/>
    </w:pPr>
    <w:rPr>
      <w:rFonts w:ascii="Helvetica" w:hAnsi="Helvetica" w:eastAsia="微软雅黑"/>
      <w:szCs w:val="22"/>
    </w:rPr>
  </w:style>
  <w:style w:type="character" w:styleId="1011" w:default="1">
    <w:name w:val="Default Paragraph Font"/>
    <w:uiPriority w:val="1"/>
    <w:semiHidden/>
    <w:unhideWhenUsed/>
  </w:style>
  <w:style w:type="numbering" w:styleId="1012" w:default="1">
    <w:name w:val="No List"/>
    <w:uiPriority w:val="99"/>
    <w:semiHidden/>
    <w:unhideWhenUsed/>
  </w:style>
  <w:style w:type="table" w:styleId="101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P R</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dc:creator>
  <cp:lastModifiedBy>褚晶晶</cp:lastModifiedBy>
  <cp:revision>6</cp:revision>
  <dcterms:created xsi:type="dcterms:W3CDTF">2025-09-28T01:17:00Z</dcterms:created>
  <dcterms:modified xsi:type="dcterms:W3CDTF">2026-01-06T02:56:41Z</dcterms:modified>
</cp:coreProperties>
</file>